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942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bookmarkEnd w:id="0"/>
    <w:p w14:paraId="502066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482" w:firstLineChars="150"/>
        <w:textAlignment w:val="auto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文章标题（三号宋体加粗居中，</w:t>
      </w:r>
      <w:r>
        <w:rPr>
          <w:rFonts w:asciiTheme="minorEastAsia" w:hAnsiTheme="minorEastAsia" w:eastAsiaTheme="minorEastAsia"/>
          <w:b/>
          <w:sz w:val="32"/>
          <w:szCs w:val="32"/>
        </w:rPr>
        <w:t>20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个汉字以内）</w:t>
      </w:r>
    </w:p>
    <w:p w14:paraId="5F0C5E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1205" w:firstLineChars="400"/>
        <w:textAlignment w:val="auto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——副标题（小三号宋体加粗，主标题下空两格起）</w:t>
      </w:r>
      <w:r>
        <w:rPr>
          <w:rStyle w:val="15"/>
          <w:rFonts w:asciiTheme="minorEastAsia" w:hAnsiTheme="minorEastAsia" w:eastAsiaTheme="minorEastAsia"/>
          <w:b/>
          <w:sz w:val="30"/>
          <w:szCs w:val="30"/>
        </w:rPr>
        <w:footnoteReference w:id="0"/>
      </w:r>
    </w:p>
    <w:p w14:paraId="6C731B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3360" w:firstLineChars="1200"/>
        <w:textAlignment w:val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作者署名</w:t>
      </w:r>
    </w:p>
    <w:p w14:paraId="67B16F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280" w:firstLineChars="100"/>
        <w:textAlignment w:val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（楷体四号居中，多人名之间空</w:t>
      </w:r>
      <w:r>
        <w:rPr>
          <w:rFonts w:hint="eastAsia" w:ascii="楷体" w:hAnsi="楷体" w:eastAsia="楷体"/>
          <w:color w:val="0070C0"/>
          <w:sz w:val="28"/>
          <w:szCs w:val="28"/>
        </w:rPr>
        <w:t>一</w:t>
      </w:r>
      <w:r>
        <w:rPr>
          <w:rFonts w:hint="eastAsia" w:ascii="楷体" w:hAnsi="楷体" w:eastAsia="楷体"/>
          <w:sz w:val="28"/>
          <w:szCs w:val="28"/>
        </w:rPr>
        <w:t>格，两字人名中间空半格）</w:t>
      </w:r>
    </w:p>
    <w:p w14:paraId="75EAA2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  <w:rPr>
          <w:b/>
        </w:rPr>
      </w:pPr>
    </w:p>
    <w:p w14:paraId="0B9156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</w:pPr>
      <w:r>
        <w:rPr>
          <w:rFonts w:hint="eastAsia" w:ascii="黑体" w:hAnsi="黑体" w:eastAsia="黑体"/>
          <w:b/>
          <w:sz w:val="24"/>
          <w:szCs w:val="24"/>
        </w:rPr>
        <w:t>摘  要：</w:t>
      </w:r>
      <w:r>
        <w:rPr>
          <w:rFonts w:hint="eastAsia" w:ascii="楷体" w:hAnsi="楷体" w:eastAsia="楷体"/>
          <w:sz w:val="24"/>
          <w:szCs w:val="24"/>
        </w:rPr>
        <w:t>……（楷体小四号，用第三人称写法，</w:t>
      </w:r>
      <w:r>
        <w:rPr>
          <w:rFonts w:ascii="Times New Roman" w:hAnsi="Times New Roman" w:eastAsia="楷体" w:cs="Times New Roman"/>
          <w:sz w:val="24"/>
          <w:szCs w:val="24"/>
        </w:rPr>
        <w:t>100-200</w:t>
      </w:r>
      <w:r>
        <w:rPr>
          <w:rFonts w:ascii="楷体" w:hAnsi="楷体" w:eastAsia="楷体"/>
          <w:sz w:val="24"/>
          <w:szCs w:val="24"/>
        </w:rPr>
        <w:t xml:space="preserve"> </w:t>
      </w:r>
      <w:r>
        <w:rPr>
          <w:rFonts w:hint="eastAsia" w:ascii="楷体" w:hAnsi="楷体" w:eastAsia="楷体"/>
          <w:sz w:val="24"/>
          <w:szCs w:val="24"/>
        </w:rPr>
        <w:t>字为宜）。</w:t>
      </w:r>
    </w:p>
    <w:p w14:paraId="3DD363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</w:pPr>
      <w:r>
        <w:rPr>
          <w:rFonts w:hint="eastAsia" w:ascii="黑体" w:hAnsi="黑体" w:eastAsia="黑体"/>
          <w:b/>
          <w:sz w:val="24"/>
          <w:szCs w:val="24"/>
        </w:rPr>
        <w:t>关键词：</w:t>
      </w:r>
      <w:r>
        <w:rPr>
          <w:rFonts w:hint="eastAsia" w:ascii="楷体" w:hAnsi="楷体" w:eastAsia="楷体"/>
          <w:sz w:val="24"/>
          <w:szCs w:val="24"/>
        </w:rPr>
        <w:t>……（楷体小四号，</w:t>
      </w:r>
      <w:r>
        <w:rPr>
          <w:rFonts w:ascii="Times New Roman" w:hAnsi="Times New Roman" w:eastAsia="楷体" w:cs="Times New Roman"/>
          <w:sz w:val="24"/>
          <w:szCs w:val="24"/>
        </w:rPr>
        <w:t>3-5</w:t>
      </w:r>
      <w:r>
        <w:rPr>
          <w:rFonts w:ascii="楷体" w:hAnsi="楷体" w:eastAsia="楷体"/>
          <w:sz w:val="24"/>
          <w:szCs w:val="24"/>
        </w:rPr>
        <w:t xml:space="preserve"> </w:t>
      </w:r>
      <w:r>
        <w:rPr>
          <w:rFonts w:hint="eastAsia" w:ascii="楷体" w:hAnsi="楷体" w:eastAsia="楷体"/>
          <w:sz w:val="24"/>
          <w:szCs w:val="24"/>
        </w:rPr>
        <w:t>个，之间用分号相隔，末尾不加标点）</w:t>
      </w:r>
    </w:p>
    <w:p w14:paraId="7C75B1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</w:pPr>
      <w:r>
        <w:rPr>
          <w:rFonts w:hint="eastAsia" w:ascii="黑体" w:hAnsi="黑体" w:eastAsia="黑体"/>
          <w:b/>
          <w:sz w:val="24"/>
          <w:szCs w:val="24"/>
        </w:rPr>
        <w:t>中图分类号：</w:t>
      </w:r>
      <w:r>
        <w:rPr>
          <w:rFonts w:hint="eastAsia"/>
          <w:b/>
        </w:rPr>
        <w:t xml:space="preserve"> </w:t>
      </w:r>
      <w:r>
        <w:rPr>
          <w:rFonts w:hint="eastAsia" w:cs="Narkisim"/>
        </w:rPr>
        <w:t xml:space="preserve">      </w:t>
      </w:r>
      <w:r>
        <w:rPr>
          <w:rFonts w:hint="eastAsia" w:ascii="黑体" w:hAnsi="黑体" w:eastAsia="黑体" w:cs="Narkisim"/>
          <w:sz w:val="24"/>
          <w:szCs w:val="24"/>
        </w:rPr>
        <w:t xml:space="preserve">  </w:t>
      </w:r>
      <w:r>
        <w:rPr>
          <w:rFonts w:hint="eastAsia" w:ascii="黑体" w:hAnsi="黑体" w:eastAsia="黑体"/>
          <w:b/>
          <w:sz w:val="24"/>
          <w:szCs w:val="24"/>
        </w:rPr>
        <w:t>文献标识码：</w:t>
      </w:r>
      <w:r>
        <w:rPr>
          <w:rFonts w:hint="eastAsia"/>
        </w:rPr>
        <w:t xml:space="preserve">          </w:t>
      </w:r>
      <w:r>
        <w:rPr>
          <w:rFonts w:hint="eastAsia" w:ascii="黑体" w:hAnsi="黑体" w:eastAsia="黑体"/>
          <w:b/>
          <w:sz w:val="24"/>
          <w:szCs w:val="24"/>
        </w:rPr>
        <w:t>文章编号：</w:t>
      </w:r>
      <w:r>
        <w:rPr>
          <w:rFonts w:hint="eastAsia" w:asciiTheme="minorEastAsia" w:hAnsiTheme="minorEastAsia" w:eastAsiaTheme="minorEastAsia"/>
          <w:sz w:val="24"/>
          <w:szCs w:val="24"/>
        </w:rPr>
        <w:t>（由本刊编辑部编写）</w:t>
      </w:r>
    </w:p>
    <w:p w14:paraId="103F6F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  <w:rPr>
          <w:rFonts w:ascii="楷体" w:hAnsi="楷体" w:eastAsia="楷体"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作者简介：</w:t>
      </w:r>
      <w:r>
        <w:rPr>
          <w:rFonts w:hint="eastAsia" w:ascii="楷体" w:hAnsi="楷体" w:eastAsia="楷体"/>
          <w:sz w:val="24"/>
          <w:szCs w:val="24"/>
        </w:rPr>
        <w:t>……（楷体小四号；一人多项信息间用逗号，多人信息间用分号相隔；包括作者姓名、性别、工作单位、职务职称、主要研究方向、通讯地址、电话号码、电子邮箱等；联系方式仅用于本刊编辑与作者联系，不在刊物公开）</w:t>
      </w:r>
    </w:p>
    <w:p w14:paraId="2720DF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</w:pPr>
    </w:p>
    <w:p w14:paraId="0A102D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正文……（中文宋体小四号，全文所有英文及阿拉伯数字用</w:t>
      </w:r>
      <w:r>
        <w:rPr>
          <w:rFonts w:ascii="Times New Roman" w:hAnsi="Times New Roman" w:eastAsia="宋体" w:cs="Times New Roman"/>
          <w:sz w:val="24"/>
          <w:szCs w:val="24"/>
        </w:rPr>
        <w:t>Times New Roman</w:t>
      </w:r>
      <w:r>
        <w:rPr>
          <w:rFonts w:hint="eastAsia" w:ascii="宋体" w:hAnsi="宋体" w:eastAsia="宋体"/>
          <w:sz w:val="24"/>
          <w:szCs w:val="24"/>
        </w:rPr>
        <w:t>字体，</w:t>
      </w:r>
      <w:r>
        <w:rPr>
          <w:rFonts w:ascii="Times New Roman" w:hAnsi="Times New Roman" w:eastAsia="宋体" w:cs="Times New Roman"/>
          <w:sz w:val="24"/>
          <w:szCs w:val="24"/>
        </w:rPr>
        <w:t>1.5</w:t>
      </w:r>
      <w:r>
        <w:rPr>
          <w:rFonts w:hint="eastAsia" w:ascii="宋体" w:hAnsi="宋体" w:eastAsia="宋体"/>
          <w:sz w:val="24"/>
          <w:szCs w:val="24"/>
        </w:rPr>
        <w:t>倍行距，全文文字用黑色；</w:t>
      </w:r>
      <w:r>
        <w:rPr>
          <w:rFonts w:ascii="Times New Roman" w:hAnsi="Times New Roman" w:eastAsia="宋体" w:cs="Times New Roman"/>
          <w:sz w:val="24"/>
          <w:szCs w:val="24"/>
        </w:rPr>
        <w:t>6000</w:t>
      </w:r>
      <w:r>
        <w:rPr>
          <w:rFonts w:hint="eastAsia" w:ascii="宋体" w:hAnsi="宋体" w:eastAsia="宋体"/>
          <w:sz w:val="24"/>
          <w:szCs w:val="24"/>
        </w:rPr>
        <w:t xml:space="preserve"> 字至 </w:t>
      </w:r>
      <w:r>
        <w:rPr>
          <w:rFonts w:ascii="Times New Roman" w:hAnsi="Times New Roman" w:eastAsia="宋体" w:cs="Times New Roman"/>
          <w:sz w:val="24"/>
          <w:szCs w:val="24"/>
        </w:rPr>
        <w:t>15000</w:t>
      </w:r>
      <w:r>
        <w:rPr>
          <w:rFonts w:hint="eastAsia" w:ascii="宋体" w:hAnsi="宋体" w:eastAsia="宋体"/>
          <w:sz w:val="24"/>
          <w:szCs w:val="24"/>
        </w:rPr>
        <w:t xml:space="preserve"> 字；标题层次序号如下）。</w:t>
      </w:r>
    </w:p>
    <w:p w14:paraId="6D3A1A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562" w:firstLineChars="200"/>
        <w:textAlignment w:val="auto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一、一级标题（黑体四号加粗）</w:t>
      </w:r>
    </w:p>
    <w:p w14:paraId="793BDB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……（宋体小四号；本标题所涵盖的正文另起一行空两格起段）。</w:t>
      </w:r>
    </w:p>
    <w:p w14:paraId="0EBFD9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482" w:firstLineChars="200"/>
        <w:textAlignment w:val="auto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（一）二级标题（宋体小四号加粗）</w:t>
      </w:r>
    </w:p>
    <w:p w14:paraId="0F3CD5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……（宋体小四号；本标题所涵盖的正文另起一行空两格起段）。</w:t>
      </w:r>
    </w:p>
    <w:p w14:paraId="7DC2AA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．三级标题（宋体小四号）</w:t>
      </w:r>
    </w:p>
    <w:p w14:paraId="13F7DB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……（宋体小四号；本标题所涵盖的正文另起一行空两格起段）。</w:t>
      </w:r>
    </w:p>
    <w:p w14:paraId="07DF2A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）四级标题（宋体小四号）</w:t>
      </w:r>
    </w:p>
    <w:p w14:paraId="0D82AA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……（宋体小四号；本标题所涵盖的正文另起一行空两格起段）</w:t>
      </w:r>
      <w:r>
        <w:rPr>
          <w:rStyle w:val="15"/>
          <w:rFonts w:asciiTheme="minorEastAsia" w:hAnsiTheme="minorEastAsia" w:eastAsiaTheme="minorEastAsia"/>
          <w:sz w:val="24"/>
          <w:szCs w:val="24"/>
        </w:rPr>
        <w:footnoteReference w:id="1"/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501EAC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1）</w:t>
      </w:r>
      <w:r>
        <w:rPr>
          <w:rFonts w:hint="eastAsia" w:ascii="宋体" w:hAnsi="宋体" w:eastAsia="宋体"/>
          <w:sz w:val="24"/>
          <w:szCs w:val="24"/>
        </w:rPr>
        <w:t>五级标题（宋体小四号）</w:t>
      </w:r>
    </w:p>
    <w:p w14:paraId="162EC1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……（宋体小四号；本标题所涵盖的正文另起一行空两格起段）</w:t>
      </w:r>
    </w:p>
    <w:p w14:paraId="763C24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280" w:firstLineChars="100"/>
        <w:textAlignment w:val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（正文中特殊性质内容如教案、访谈对话实录等用楷体四号）</w:t>
      </w:r>
    </w:p>
    <w:p w14:paraId="59F985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</w:pPr>
      <w:r>
        <w:rPr>
          <w:rFonts w:hint="eastAsia"/>
        </w:rPr>
        <w:t xml:space="preserve">                           </w:t>
      </w:r>
      <w:r>
        <w:drawing>
          <wp:inline distT="0" distB="0" distL="0" distR="0">
            <wp:extent cx="1362075" cy="942975"/>
            <wp:effectExtent l="19050" t="0" r="9525" b="0"/>
            <wp:docPr id="3" name="图片 9" descr="161534715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 descr="1615347150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</w:t>
      </w:r>
    </w:p>
    <w:p w14:paraId="7915B3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1928" w:firstLineChars="800"/>
        <w:textAlignment w:val="auto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图</w:t>
      </w:r>
      <w:r>
        <w:rPr>
          <w:rFonts w:ascii="Times New Roman" w:hAnsi="Times New Roman" w:eastAsia="黑体" w:cs="Times New Roman"/>
          <w:b/>
          <w:sz w:val="24"/>
          <w:szCs w:val="24"/>
        </w:rPr>
        <w:t>1</w:t>
      </w:r>
      <w:r>
        <w:rPr>
          <w:rFonts w:hint="eastAsia" w:ascii="黑体" w:hAnsi="黑体" w:eastAsia="黑体"/>
          <w:b/>
          <w:sz w:val="24"/>
          <w:szCs w:val="24"/>
        </w:rPr>
        <w:t xml:space="preserve">  图题（黑体小四号加粗居中）</w:t>
      </w:r>
    </w:p>
    <w:p w14:paraId="5019D7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（文中图表请用阿拉伯数字顺序编号；统计图请提供可编辑版本，其他类型图片须分辨率</w:t>
      </w:r>
      <w:r>
        <w:rPr>
          <w:rFonts w:asciiTheme="minorEastAsia" w:hAnsiTheme="minorEastAsia" w:eastAsiaTheme="minorEastAsia"/>
          <w:sz w:val="24"/>
          <w:szCs w:val="24"/>
        </w:rPr>
        <w:t>400dpi</w:t>
      </w:r>
      <w:r>
        <w:rPr>
          <w:rFonts w:hint="eastAsia" w:asciiTheme="minorEastAsia" w:hAnsiTheme="minorEastAsia" w:eastAsiaTheme="minorEastAsia"/>
          <w:sz w:val="24"/>
          <w:szCs w:val="24"/>
        </w:rPr>
        <w:t>以上、大小以插入word文档时自动显示宽度10cm以上为宜；因本刊为黑白印刷，图片请勿以颜色为参照；表格中的简略文字请居中，文字量大则左对齐；数据统计类表格请用三线表，文字描述类表格请用全线表。）</w:t>
      </w:r>
    </w:p>
    <w:p w14:paraId="016160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1928" w:firstLineChars="800"/>
        <w:textAlignment w:val="auto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表</w:t>
      </w:r>
      <w:r>
        <w:rPr>
          <w:rFonts w:ascii="黑体" w:hAnsi="黑体" w:eastAsia="黑体" w:cs="Times New Roman"/>
          <w:b/>
          <w:sz w:val="24"/>
          <w:szCs w:val="24"/>
        </w:rPr>
        <w:t>1</w:t>
      </w:r>
      <w:r>
        <w:rPr>
          <w:rFonts w:hint="eastAsia" w:ascii="黑体" w:hAnsi="黑体" w:eastAsia="黑体"/>
          <w:b/>
          <w:sz w:val="24"/>
          <w:szCs w:val="24"/>
        </w:rPr>
        <w:t xml:space="preserve">  表题（黑体小四号加粗居中）</w:t>
      </w:r>
    </w:p>
    <w:p w14:paraId="324E44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2741" w:firstLineChars="1300"/>
        <w:textAlignment w:val="auto"/>
        <w:rPr>
          <w:b/>
        </w:rPr>
      </w:pPr>
      <w:r>
        <w:rPr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85875" cy="914400"/>
            <wp:effectExtent l="19050" t="0" r="9525" b="0"/>
            <wp:wrapSquare wrapText="bothSides"/>
            <wp:docPr id="22" name="图片 22" descr="161534730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1615347309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br w:type="textWrapping" w:clear="all"/>
      </w:r>
    </w:p>
    <w:p w14:paraId="3DEADD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  <w:rPr>
          <w:b/>
        </w:rPr>
      </w:pPr>
    </w:p>
    <w:p w14:paraId="6EDEE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【参考文献】</w:t>
      </w:r>
    </w:p>
    <w:p w14:paraId="31A03F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（楷体小四号；参考文献执行国家标准《信息与文献 参考文献著录规则》</w:t>
      </w:r>
      <w:r>
        <w:rPr>
          <w:rFonts w:ascii="Times New Roman" w:hAnsi="Times New Roman" w:eastAsia="楷体" w:cs="Times New Roman"/>
          <w:sz w:val="24"/>
          <w:szCs w:val="24"/>
        </w:rPr>
        <w:t>GB7714-2015</w:t>
      </w:r>
      <w:r>
        <w:rPr>
          <w:rFonts w:hint="eastAsia" w:ascii="楷体" w:hAnsi="楷体" w:eastAsia="楷体"/>
          <w:sz w:val="24"/>
          <w:szCs w:val="24"/>
        </w:rPr>
        <w:t>；排序为先罗列引文型文献再罗列阅读型文献；引文型文献采用尾注的引用形式，在正文相应语句标点符号前标记，带中括号</w:t>
      </w:r>
      <w:r>
        <w:rPr>
          <w:rFonts w:hint="eastAsia" w:ascii="楷体" w:hAnsi="楷体" w:eastAsia="楷体"/>
          <w:sz w:val="24"/>
          <w:szCs w:val="24"/>
          <w:vertAlign w:val="superscript"/>
        </w:rPr>
        <w:t>[1]</w:t>
      </w:r>
      <w:r>
        <w:rPr>
          <w:rFonts w:hint="eastAsia" w:ascii="楷体" w:hAnsi="楷体" w:eastAsia="楷体"/>
          <w:sz w:val="24"/>
          <w:szCs w:val="24"/>
        </w:rPr>
        <w:t>，对应文末参考文献序号。一段文字对应两条参考文献的，</w:t>
      </w:r>
      <w:r>
        <w:rPr>
          <w:rFonts w:ascii="楷体" w:hAnsi="楷体" w:eastAsia="楷体"/>
          <w:sz w:val="24"/>
          <w:szCs w:val="24"/>
        </w:rPr>
        <w:t>序号</w:t>
      </w:r>
      <w:r>
        <w:rPr>
          <w:rFonts w:hint="eastAsia" w:ascii="楷体" w:hAnsi="楷体" w:eastAsia="楷体"/>
          <w:sz w:val="24"/>
          <w:szCs w:val="24"/>
        </w:rPr>
        <w:t>示例：</w:t>
      </w:r>
      <w:r>
        <w:rPr>
          <w:rFonts w:ascii="楷体" w:hAnsi="楷体" w:eastAsia="楷体"/>
          <w:sz w:val="24"/>
          <w:szCs w:val="24"/>
          <w:vertAlign w:val="superscript"/>
        </w:rPr>
        <w:t>[</w:t>
      </w:r>
      <w:r>
        <w:rPr>
          <w:rFonts w:hint="eastAsia" w:ascii="楷体" w:hAnsi="楷体" w:eastAsia="楷体"/>
          <w:sz w:val="24"/>
          <w:szCs w:val="24"/>
          <w:vertAlign w:val="superscript"/>
        </w:rPr>
        <w:t>1</w:t>
      </w:r>
      <w:r>
        <w:rPr>
          <w:rFonts w:ascii="楷体" w:hAnsi="楷体" w:eastAsia="楷体"/>
          <w:sz w:val="24"/>
          <w:szCs w:val="24"/>
          <w:vertAlign w:val="superscript"/>
        </w:rPr>
        <w:t>][</w:t>
      </w:r>
      <w:r>
        <w:rPr>
          <w:rFonts w:hint="eastAsia" w:ascii="楷体" w:hAnsi="楷体" w:eastAsia="楷体"/>
          <w:sz w:val="24"/>
          <w:szCs w:val="24"/>
          <w:vertAlign w:val="superscript"/>
        </w:rPr>
        <w:t>2</w:t>
      </w:r>
      <w:r>
        <w:rPr>
          <w:rFonts w:ascii="楷体" w:hAnsi="楷体" w:eastAsia="楷体"/>
          <w:sz w:val="24"/>
          <w:szCs w:val="24"/>
          <w:vertAlign w:val="superscript"/>
        </w:rPr>
        <w:t>]</w:t>
      </w:r>
      <w:r>
        <w:rPr>
          <w:rFonts w:ascii="楷体" w:hAnsi="楷体" w:eastAsia="楷体"/>
          <w:sz w:val="24"/>
          <w:szCs w:val="24"/>
        </w:rPr>
        <w:t>，</w:t>
      </w:r>
      <w:r>
        <w:rPr>
          <w:rFonts w:hint="eastAsia" w:ascii="楷体" w:hAnsi="楷体" w:eastAsia="楷体"/>
          <w:sz w:val="24"/>
          <w:szCs w:val="24"/>
        </w:rPr>
        <w:t>对应</w:t>
      </w:r>
      <w:r>
        <w:rPr>
          <w:rFonts w:ascii="楷体" w:hAnsi="楷体" w:eastAsia="楷体"/>
          <w:sz w:val="24"/>
          <w:szCs w:val="24"/>
        </w:rPr>
        <w:t>三个</w:t>
      </w:r>
      <w:r>
        <w:rPr>
          <w:rFonts w:hint="eastAsia" w:ascii="楷体" w:hAnsi="楷体" w:eastAsia="楷体"/>
          <w:sz w:val="24"/>
          <w:szCs w:val="24"/>
        </w:rPr>
        <w:t>及</w:t>
      </w:r>
      <w:r>
        <w:rPr>
          <w:rFonts w:ascii="楷体" w:hAnsi="楷体" w:eastAsia="楷体"/>
          <w:sz w:val="24"/>
          <w:szCs w:val="24"/>
        </w:rPr>
        <w:t>以上</w:t>
      </w:r>
      <w:r>
        <w:rPr>
          <w:rFonts w:hint="eastAsia" w:ascii="楷体" w:hAnsi="楷体" w:eastAsia="楷体"/>
          <w:sz w:val="24"/>
          <w:szCs w:val="24"/>
        </w:rPr>
        <w:t>的，示例：</w:t>
      </w:r>
      <w:r>
        <w:rPr>
          <w:rFonts w:ascii="楷体" w:hAnsi="楷体" w:eastAsia="楷体"/>
          <w:sz w:val="24"/>
          <w:szCs w:val="24"/>
          <w:vertAlign w:val="superscript"/>
        </w:rPr>
        <w:t>[</w:t>
      </w:r>
      <w:r>
        <w:rPr>
          <w:rFonts w:hint="eastAsia" w:ascii="楷体" w:hAnsi="楷体" w:eastAsia="楷体"/>
          <w:sz w:val="24"/>
          <w:szCs w:val="24"/>
          <w:vertAlign w:val="superscript"/>
        </w:rPr>
        <w:t>1</w:t>
      </w:r>
      <w:r>
        <w:rPr>
          <w:rFonts w:ascii="楷体" w:hAnsi="楷体" w:eastAsia="楷体"/>
          <w:sz w:val="24"/>
          <w:szCs w:val="24"/>
          <w:vertAlign w:val="superscript"/>
        </w:rPr>
        <w:t>-</w:t>
      </w:r>
      <w:r>
        <w:rPr>
          <w:rFonts w:hint="eastAsia" w:ascii="楷体" w:hAnsi="楷体" w:eastAsia="楷体"/>
          <w:sz w:val="24"/>
          <w:szCs w:val="24"/>
          <w:vertAlign w:val="superscript"/>
        </w:rPr>
        <w:t>3</w:t>
      </w:r>
      <w:r>
        <w:rPr>
          <w:rFonts w:ascii="楷体" w:hAnsi="楷体" w:eastAsia="楷体"/>
          <w:sz w:val="24"/>
          <w:szCs w:val="24"/>
          <w:vertAlign w:val="superscript"/>
        </w:rPr>
        <w:t>]</w:t>
      </w:r>
      <w:r>
        <w:rPr>
          <w:rFonts w:hint="eastAsia" w:ascii="楷体" w:hAnsi="楷体" w:eastAsia="楷体"/>
          <w:sz w:val="24"/>
          <w:szCs w:val="24"/>
        </w:rPr>
        <w:t>。多处引用同一参考文献的，序号以首次出现为准，下文再出现，即使之间间隔其他序号，也以首次出现为准，写法为：正文***</w:t>
      </w:r>
      <w:r>
        <w:rPr>
          <w:rFonts w:ascii="楷体" w:hAnsi="楷体" w:eastAsia="楷体"/>
          <w:sz w:val="24"/>
          <w:szCs w:val="24"/>
          <w:vertAlign w:val="superscript"/>
        </w:rPr>
        <w:t>[</w:t>
      </w:r>
      <w:r>
        <w:rPr>
          <w:rFonts w:hint="eastAsia" w:ascii="楷体" w:hAnsi="楷体" w:eastAsia="楷体"/>
          <w:sz w:val="24"/>
          <w:szCs w:val="24"/>
          <w:vertAlign w:val="superscript"/>
        </w:rPr>
        <w:t>2</w:t>
      </w:r>
      <w:r>
        <w:rPr>
          <w:rFonts w:ascii="楷体" w:hAnsi="楷体" w:eastAsia="楷体"/>
          <w:sz w:val="24"/>
          <w:szCs w:val="24"/>
          <w:vertAlign w:val="superscript"/>
        </w:rPr>
        <w:t>]</w:t>
      </w:r>
      <w:r>
        <w:rPr>
          <w:rFonts w:hint="eastAsia" w:ascii="楷体" w:hAnsi="楷体" w:eastAsia="楷体"/>
          <w:sz w:val="24"/>
          <w:szCs w:val="24"/>
        </w:rPr>
        <w:t>，正文***</w:t>
      </w:r>
      <w:r>
        <w:rPr>
          <w:rFonts w:ascii="楷体" w:hAnsi="楷体" w:eastAsia="楷体"/>
          <w:sz w:val="24"/>
          <w:szCs w:val="24"/>
          <w:vertAlign w:val="superscript"/>
        </w:rPr>
        <w:t>[</w:t>
      </w:r>
      <w:r>
        <w:rPr>
          <w:rFonts w:hint="eastAsia" w:ascii="楷体" w:hAnsi="楷体" w:eastAsia="楷体"/>
          <w:sz w:val="24"/>
          <w:szCs w:val="24"/>
          <w:vertAlign w:val="superscript"/>
        </w:rPr>
        <w:t>3</w:t>
      </w:r>
      <w:r>
        <w:rPr>
          <w:rFonts w:ascii="楷体" w:hAnsi="楷体" w:eastAsia="楷体"/>
          <w:sz w:val="24"/>
          <w:szCs w:val="24"/>
          <w:vertAlign w:val="superscript"/>
        </w:rPr>
        <w:t>]</w:t>
      </w:r>
      <w:r>
        <w:rPr>
          <w:rFonts w:hint="eastAsia" w:ascii="楷体" w:hAnsi="楷体" w:eastAsia="楷体"/>
          <w:sz w:val="24"/>
          <w:szCs w:val="24"/>
        </w:rPr>
        <w:t>，正文***</w:t>
      </w:r>
      <w:r>
        <w:rPr>
          <w:rFonts w:ascii="楷体" w:hAnsi="楷体" w:eastAsia="楷体"/>
          <w:sz w:val="24"/>
          <w:szCs w:val="24"/>
          <w:vertAlign w:val="superscript"/>
        </w:rPr>
        <w:t>[</w:t>
      </w:r>
      <w:r>
        <w:rPr>
          <w:rFonts w:hint="eastAsia" w:ascii="楷体" w:hAnsi="楷体" w:eastAsia="楷体"/>
          <w:sz w:val="24"/>
          <w:szCs w:val="24"/>
          <w:vertAlign w:val="superscript"/>
        </w:rPr>
        <w:t>4</w:t>
      </w:r>
      <w:r>
        <w:rPr>
          <w:rFonts w:ascii="楷体" w:hAnsi="楷体" w:eastAsia="楷体"/>
          <w:sz w:val="24"/>
          <w:szCs w:val="24"/>
          <w:vertAlign w:val="superscript"/>
        </w:rPr>
        <w:t>]</w:t>
      </w:r>
      <w:r>
        <w:rPr>
          <w:rFonts w:hint="eastAsia" w:ascii="楷体" w:hAnsi="楷体" w:eastAsia="楷体"/>
          <w:sz w:val="24"/>
          <w:szCs w:val="24"/>
        </w:rPr>
        <w:t>，正文***</w:t>
      </w:r>
      <w:r>
        <w:rPr>
          <w:rFonts w:ascii="楷体" w:hAnsi="楷体" w:eastAsia="楷体"/>
          <w:sz w:val="24"/>
          <w:szCs w:val="24"/>
          <w:vertAlign w:val="superscript"/>
        </w:rPr>
        <w:t>[</w:t>
      </w:r>
      <w:r>
        <w:rPr>
          <w:rFonts w:hint="eastAsia" w:ascii="楷体" w:hAnsi="楷体" w:eastAsia="楷体"/>
          <w:sz w:val="24"/>
          <w:szCs w:val="24"/>
          <w:vertAlign w:val="superscript"/>
        </w:rPr>
        <w:t>2</w:t>
      </w:r>
      <w:r>
        <w:rPr>
          <w:rFonts w:ascii="楷体" w:hAnsi="楷体" w:eastAsia="楷体"/>
          <w:sz w:val="24"/>
          <w:szCs w:val="24"/>
          <w:vertAlign w:val="superscript"/>
        </w:rPr>
        <w:t>]</w:t>
      </w:r>
      <w:r>
        <w:rPr>
          <w:rFonts w:hint="eastAsia" w:ascii="楷体" w:hAnsi="楷体" w:eastAsia="楷体"/>
          <w:sz w:val="24"/>
          <w:szCs w:val="24"/>
        </w:rPr>
        <w:t>，正文***</w:t>
      </w:r>
      <w:r>
        <w:rPr>
          <w:rFonts w:ascii="楷体" w:hAnsi="楷体" w:eastAsia="楷体"/>
          <w:sz w:val="24"/>
          <w:szCs w:val="24"/>
          <w:vertAlign w:val="superscript"/>
        </w:rPr>
        <w:t>[</w:t>
      </w:r>
      <w:r>
        <w:rPr>
          <w:rFonts w:hint="eastAsia" w:ascii="楷体" w:hAnsi="楷体" w:eastAsia="楷体"/>
          <w:sz w:val="24"/>
          <w:szCs w:val="24"/>
          <w:vertAlign w:val="superscript"/>
        </w:rPr>
        <w:t>5</w:t>
      </w:r>
      <w:r>
        <w:rPr>
          <w:rFonts w:ascii="楷体" w:hAnsi="楷体" w:eastAsia="楷体"/>
          <w:sz w:val="24"/>
          <w:szCs w:val="24"/>
          <w:vertAlign w:val="superscript"/>
        </w:rPr>
        <w:t>]</w:t>
      </w:r>
      <w:r>
        <w:rPr>
          <w:rFonts w:hint="eastAsia" w:ascii="楷体" w:hAnsi="楷体" w:eastAsia="楷体"/>
          <w:sz w:val="24"/>
          <w:szCs w:val="24"/>
        </w:rPr>
        <w:t>。使用半角符号。举例如下：）</w:t>
      </w:r>
    </w:p>
    <w:p w14:paraId="394998DE">
      <w:pPr>
        <w:keepNext w:val="0"/>
        <w:keepLines w:val="0"/>
        <w:pageBreakBefore w:val="0"/>
        <w:pBdr>
          <w:bottom w:val="single" w:color="auto" w:sz="6" w:space="0"/>
        </w:pBdr>
        <w:kinsoku/>
        <w:wordWrap/>
        <w:overflowPunct/>
        <w:topLinePunct w:val="0"/>
        <w:autoSpaceDE/>
        <w:autoSpaceDN/>
        <w:bidi w:val="0"/>
        <w:spacing w:line="520" w:lineRule="exact"/>
        <w:ind w:left="0" w:hanging="482" w:hangingChars="200"/>
        <w:textAlignment w:val="auto"/>
        <w:rPr>
          <w:rFonts w:ascii="Times New Roman" w:hAnsi="Times New Roman" w:eastAsia="楷体"/>
          <w:b/>
          <w:bCs/>
          <w:sz w:val="24"/>
          <w:szCs w:val="24"/>
        </w:rPr>
      </w:pPr>
      <w:r>
        <w:rPr>
          <w:rFonts w:hint="eastAsia" w:ascii="Times New Roman" w:hAnsi="Times New Roman" w:eastAsia="楷体"/>
          <w:b/>
          <w:bCs/>
          <w:sz w:val="24"/>
          <w:szCs w:val="24"/>
        </w:rPr>
        <w:t>期刊类：</w:t>
      </w:r>
    </w:p>
    <w:p w14:paraId="4DDC5D7D">
      <w:pPr>
        <w:keepNext w:val="0"/>
        <w:keepLines w:val="0"/>
        <w:pageBreakBefore w:val="0"/>
        <w:pBdr>
          <w:bottom w:val="single" w:color="auto" w:sz="6" w:space="0"/>
        </w:pBdr>
        <w:kinsoku/>
        <w:wordWrap/>
        <w:overflowPunct/>
        <w:topLinePunct w:val="0"/>
        <w:autoSpaceDE/>
        <w:autoSpaceDN/>
        <w:bidi w:val="0"/>
        <w:spacing w:line="520" w:lineRule="exact"/>
        <w:ind w:left="0"/>
        <w:jc w:val="both"/>
        <w:textAlignment w:val="auto"/>
        <w:rPr>
          <w:rFonts w:ascii="Times New Roman" w:hAnsi="Times New Roman" w:eastAsia="楷体"/>
          <w:sz w:val="24"/>
          <w:szCs w:val="24"/>
        </w:rPr>
      </w:pPr>
      <w:r>
        <w:rPr>
          <w:rFonts w:hint="eastAsia" w:ascii="Times New Roman" w:hAnsi="Times New Roman" w:eastAsia="楷体"/>
          <w:sz w:val="24"/>
          <w:szCs w:val="24"/>
        </w:rPr>
        <w:t>析出文献所有主要责任者.析出文献题名:其他题名信息[</w:t>
      </w:r>
      <w:r>
        <w:rPr>
          <w:rFonts w:ascii="Times New Roman" w:hAnsi="Times New Roman" w:eastAsia="楷体"/>
          <w:sz w:val="24"/>
          <w:szCs w:val="24"/>
        </w:rPr>
        <w:t>J</w:t>
      </w:r>
      <w:r>
        <w:rPr>
          <w:rFonts w:hint="eastAsia" w:ascii="Times New Roman" w:hAnsi="Times New Roman" w:eastAsia="楷体"/>
          <w:sz w:val="24"/>
          <w:szCs w:val="24"/>
        </w:rPr>
        <w:t>].连续出版物题名（连续出版物其他题名信息）,年,卷(期):起止页码.（三个作者以上的，只呈现前三个）</w:t>
      </w:r>
    </w:p>
    <w:p w14:paraId="57A05AA1">
      <w:pPr>
        <w:keepNext w:val="0"/>
        <w:keepLines w:val="0"/>
        <w:pageBreakBefore w:val="0"/>
        <w:pBdr>
          <w:bottom w:val="single" w:color="auto" w:sz="6" w:space="0"/>
        </w:pBdr>
        <w:kinsoku/>
        <w:wordWrap/>
        <w:overflowPunct/>
        <w:topLinePunct w:val="0"/>
        <w:autoSpaceDE/>
        <w:autoSpaceDN/>
        <w:bidi w:val="0"/>
        <w:spacing w:line="520" w:lineRule="exact"/>
        <w:ind w:left="0" w:hanging="480" w:hangingChars="200"/>
        <w:textAlignment w:val="auto"/>
        <w:rPr>
          <w:rFonts w:ascii="Times New Roman" w:hAnsi="Times New Roman" w:eastAsia="楷体"/>
          <w:sz w:val="24"/>
          <w:szCs w:val="24"/>
        </w:rPr>
      </w:pPr>
    </w:p>
    <w:p w14:paraId="67AFA6AA">
      <w:pPr>
        <w:keepNext w:val="0"/>
        <w:keepLines w:val="0"/>
        <w:pageBreakBefore w:val="0"/>
        <w:pBdr>
          <w:bottom w:val="single" w:color="auto" w:sz="6" w:space="0"/>
        </w:pBdr>
        <w:kinsoku/>
        <w:wordWrap/>
        <w:overflowPunct/>
        <w:topLinePunct w:val="0"/>
        <w:autoSpaceDE/>
        <w:autoSpaceDN/>
        <w:bidi w:val="0"/>
        <w:spacing w:line="520" w:lineRule="exact"/>
        <w:ind w:left="0" w:hanging="480" w:hangingChars="200"/>
        <w:textAlignment w:val="auto"/>
        <w:rPr>
          <w:rFonts w:ascii="Times New Roman" w:hAnsi="Times New Roman" w:eastAsia="楷体"/>
          <w:sz w:val="24"/>
          <w:szCs w:val="24"/>
        </w:rPr>
      </w:pPr>
      <w:r>
        <w:rPr>
          <w:rFonts w:ascii="Times New Roman" w:hAnsi="Times New Roman" w:eastAsia="楷体"/>
          <w:sz w:val="24"/>
          <w:szCs w:val="24"/>
        </w:rPr>
        <w:t xml:space="preserve">[1] </w:t>
      </w:r>
      <w:r>
        <w:rPr>
          <w:rFonts w:hint="eastAsia" w:ascii="Times New Roman" w:hAnsi="Times New Roman" w:eastAsia="楷体"/>
          <w:sz w:val="24"/>
          <w:szCs w:val="24"/>
        </w:rPr>
        <w:t>张岩</w:t>
      </w:r>
      <w:r>
        <w:rPr>
          <w:rFonts w:ascii="Times New Roman" w:hAnsi="Times New Roman" w:eastAsia="楷体"/>
          <w:sz w:val="24"/>
          <w:szCs w:val="24"/>
        </w:rPr>
        <w:t>.</w:t>
      </w:r>
      <w:r>
        <w:rPr>
          <w:rFonts w:hint="eastAsia" w:ascii="Times New Roman" w:hAnsi="Times New Roman" w:eastAsia="楷体"/>
          <w:sz w:val="24"/>
          <w:szCs w:val="24"/>
        </w:rPr>
        <w:t>学前教育舞蹈教学的问题及模式构建分析</w:t>
      </w:r>
      <w:r>
        <w:rPr>
          <w:rFonts w:ascii="Times New Roman" w:hAnsi="Times New Roman" w:eastAsia="楷体"/>
          <w:sz w:val="24"/>
          <w:szCs w:val="24"/>
        </w:rPr>
        <w:t>[J].</w:t>
      </w:r>
      <w:r>
        <w:rPr>
          <w:rFonts w:hint="eastAsia" w:ascii="Times New Roman" w:hAnsi="Times New Roman" w:eastAsia="楷体"/>
          <w:sz w:val="24"/>
          <w:szCs w:val="24"/>
        </w:rPr>
        <w:t>北方音乐</w:t>
      </w:r>
      <w:r>
        <w:rPr>
          <w:rFonts w:ascii="Times New Roman" w:hAnsi="Times New Roman" w:eastAsia="楷体"/>
          <w:sz w:val="24"/>
          <w:szCs w:val="24"/>
        </w:rPr>
        <w:t>,</w:t>
      </w:r>
      <w:r>
        <w:rPr>
          <w:rFonts w:ascii="Times New Roman" w:hAnsi="Times New Roman" w:eastAsia="楷体" w:cs="Times New Roman"/>
          <w:sz w:val="24"/>
          <w:szCs w:val="24"/>
        </w:rPr>
        <w:t>2019,39(19):192-193</w:t>
      </w:r>
      <w:r>
        <w:rPr>
          <w:rFonts w:ascii="Times New Roman" w:hAnsi="Times New Roman" w:eastAsia="楷体"/>
          <w:sz w:val="24"/>
          <w:szCs w:val="24"/>
        </w:rPr>
        <w:t>.</w:t>
      </w:r>
    </w:p>
    <w:p w14:paraId="7E0A7B90">
      <w:pPr>
        <w:keepNext w:val="0"/>
        <w:keepLines w:val="0"/>
        <w:pageBreakBefore w:val="0"/>
        <w:pBdr>
          <w:bottom w:val="single" w:color="auto" w:sz="6" w:space="0"/>
        </w:pBdr>
        <w:kinsoku/>
        <w:wordWrap/>
        <w:overflowPunct/>
        <w:topLinePunct w:val="0"/>
        <w:autoSpaceDE/>
        <w:autoSpaceDN/>
        <w:bidi w:val="0"/>
        <w:spacing w:line="520" w:lineRule="exact"/>
        <w:ind w:left="0" w:hanging="480" w:hangingChars="200"/>
        <w:textAlignment w:val="auto"/>
        <w:rPr>
          <w:rFonts w:ascii="Times New Roman" w:hAnsi="Times New Roman" w:eastAsia="楷体"/>
          <w:sz w:val="24"/>
          <w:szCs w:val="24"/>
        </w:rPr>
      </w:pPr>
      <w:r>
        <w:rPr>
          <w:rFonts w:ascii="Times New Roman" w:hAnsi="Times New Roman" w:eastAsia="楷体"/>
          <w:sz w:val="24"/>
          <w:szCs w:val="24"/>
        </w:rPr>
        <w:t xml:space="preserve">[2] </w:t>
      </w:r>
      <w:r>
        <w:rPr>
          <w:rFonts w:hint="eastAsia" w:ascii="Times New Roman" w:hAnsi="Times New Roman" w:eastAsia="楷体"/>
          <w:sz w:val="24"/>
          <w:szCs w:val="24"/>
        </w:rPr>
        <w:t>席玮</w:t>
      </w:r>
      <w:r>
        <w:rPr>
          <w:rFonts w:ascii="Times New Roman" w:hAnsi="Times New Roman" w:eastAsia="楷体"/>
          <w:sz w:val="24"/>
          <w:szCs w:val="24"/>
        </w:rPr>
        <w:t>,</w:t>
      </w:r>
      <w:r>
        <w:rPr>
          <w:rFonts w:hint="eastAsia" w:ascii="Times New Roman" w:hAnsi="Times New Roman" w:eastAsia="楷体"/>
          <w:sz w:val="24"/>
          <w:szCs w:val="24"/>
        </w:rPr>
        <w:t>李莹</w:t>
      </w:r>
      <w:r>
        <w:rPr>
          <w:rFonts w:ascii="Times New Roman" w:hAnsi="Times New Roman" w:eastAsia="楷体"/>
          <w:sz w:val="24"/>
          <w:szCs w:val="24"/>
        </w:rPr>
        <w:t>.</w:t>
      </w:r>
      <w:r>
        <w:rPr>
          <w:rFonts w:hint="eastAsia" w:ascii="Times New Roman" w:hAnsi="Times New Roman" w:eastAsia="楷体"/>
          <w:sz w:val="24"/>
          <w:szCs w:val="24"/>
        </w:rPr>
        <w:t>青少年影子教育参与:学校群体与先赋差异——基于</w:t>
      </w:r>
      <w:r>
        <w:rPr>
          <w:rFonts w:ascii="Times New Roman" w:hAnsi="Times New Roman" w:eastAsia="楷体"/>
          <w:sz w:val="24"/>
          <w:szCs w:val="24"/>
        </w:rPr>
        <w:t>CEPS</w:t>
      </w:r>
      <w:r>
        <w:rPr>
          <w:rFonts w:hint="eastAsia" w:ascii="Times New Roman" w:hAnsi="Times New Roman" w:eastAsia="楷体"/>
          <w:sz w:val="24"/>
          <w:szCs w:val="24"/>
        </w:rPr>
        <w:t>数据的多水平分析</w:t>
      </w:r>
      <w:r>
        <w:rPr>
          <w:rFonts w:ascii="Times New Roman" w:hAnsi="Times New Roman" w:eastAsia="楷体"/>
          <w:sz w:val="24"/>
          <w:szCs w:val="24"/>
        </w:rPr>
        <w:t>[J].</w:t>
      </w:r>
      <w:r>
        <w:rPr>
          <w:rFonts w:hint="eastAsia" w:ascii="Times New Roman" w:hAnsi="Times New Roman" w:eastAsia="楷体"/>
          <w:sz w:val="24"/>
          <w:szCs w:val="24"/>
        </w:rPr>
        <w:t>华东师范大学学报</w:t>
      </w:r>
      <w:r>
        <w:rPr>
          <w:rFonts w:ascii="Times New Roman" w:hAnsi="Times New Roman" w:eastAsia="楷体"/>
          <w:sz w:val="24"/>
          <w:szCs w:val="24"/>
        </w:rPr>
        <w:t>(</w:t>
      </w:r>
      <w:r>
        <w:rPr>
          <w:rFonts w:hint="eastAsia" w:ascii="Times New Roman" w:hAnsi="Times New Roman" w:eastAsia="楷体"/>
          <w:sz w:val="24"/>
          <w:szCs w:val="24"/>
        </w:rPr>
        <w:t>教育科学版</w:t>
      </w:r>
      <w:r>
        <w:rPr>
          <w:rFonts w:ascii="Times New Roman" w:hAnsi="Times New Roman" w:eastAsia="楷体"/>
          <w:sz w:val="24"/>
          <w:szCs w:val="24"/>
        </w:rPr>
        <w:t>),2020,38(11):56-68.</w:t>
      </w:r>
    </w:p>
    <w:p w14:paraId="1B0372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  <w:rPr>
          <w:rFonts w:ascii="Times New Roman" w:hAnsi="Times New Roman" w:eastAsia="楷体"/>
          <w:sz w:val="24"/>
        </w:rPr>
      </w:pPr>
      <w:r>
        <w:rPr>
          <w:rFonts w:ascii="Times New Roman" w:hAnsi="Times New Roman" w:eastAsia="楷体"/>
          <w:sz w:val="24"/>
        </w:rPr>
        <w:t>[3] KWOK, P. Demand intensity, market parameters and policy responses towards demand and supply of private supplementary tutoring in China[J]. Asia Pacific Education Review, 2010, 11(1)</w:t>
      </w:r>
      <w:r>
        <w:rPr>
          <w:rFonts w:hint="eastAsia" w:ascii="Times New Roman" w:hAnsi="Times New Roman" w:eastAsia="楷体"/>
          <w:sz w:val="24"/>
        </w:rPr>
        <w:t>:</w:t>
      </w:r>
      <w:r>
        <w:rPr>
          <w:rFonts w:ascii="Times New Roman" w:hAnsi="Times New Roman" w:eastAsia="楷体"/>
          <w:sz w:val="24"/>
        </w:rPr>
        <w:t xml:space="preserve"> 49</w:t>
      </w:r>
      <w:r>
        <w:rPr>
          <w:rFonts w:hint="eastAsia" w:ascii="Times New Roman" w:hAnsi="Times New Roman" w:eastAsia="楷体"/>
          <w:sz w:val="24"/>
        </w:rPr>
        <w:t>-</w:t>
      </w:r>
      <w:r>
        <w:rPr>
          <w:rFonts w:ascii="Times New Roman" w:hAnsi="Times New Roman" w:eastAsia="楷体"/>
          <w:sz w:val="24"/>
        </w:rPr>
        <w:t>58.</w:t>
      </w:r>
    </w:p>
    <w:p w14:paraId="032997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  <w:rPr>
          <w:rFonts w:ascii="Times New Roman" w:hAnsi="Times New Roman" w:eastAsia="楷体"/>
          <w:b/>
          <w:bCs/>
          <w:sz w:val="24"/>
        </w:rPr>
      </w:pPr>
      <w:r>
        <w:rPr>
          <w:rFonts w:hint="eastAsia" w:ascii="Times New Roman" w:hAnsi="Times New Roman" w:eastAsia="楷体"/>
          <w:b/>
          <w:bCs/>
          <w:sz w:val="24"/>
        </w:rPr>
        <w:t>著作类:</w:t>
      </w:r>
    </w:p>
    <w:p w14:paraId="186C8A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  <w:rPr>
          <w:rFonts w:ascii="Times New Roman" w:hAnsi="Times New Roman" w:eastAsia="楷体"/>
          <w:sz w:val="24"/>
        </w:rPr>
      </w:pPr>
      <w:r>
        <w:rPr>
          <w:rFonts w:hint="eastAsia" w:ascii="Times New Roman" w:hAnsi="Times New Roman" w:eastAsia="楷体"/>
          <w:sz w:val="24"/>
        </w:rPr>
        <w:t>主要责任者</w:t>
      </w:r>
      <w:r>
        <w:rPr>
          <w:rFonts w:ascii="Times New Roman" w:hAnsi="Times New Roman" w:eastAsia="楷体"/>
          <w:sz w:val="24"/>
        </w:rPr>
        <w:t>.</w:t>
      </w:r>
      <w:r>
        <w:rPr>
          <w:rFonts w:hint="eastAsia" w:ascii="Times New Roman" w:hAnsi="Times New Roman" w:eastAsia="楷体"/>
          <w:sz w:val="24"/>
        </w:rPr>
        <w:t>题名:其他题名信息</w:t>
      </w:r>
      <w:r>
        <w:rPr>
          <w:rFonts w:ascii="Times New Roman" w:hAnsi="Times New Roman" w:eastAsia="楷体"/>
          <w:sz w:val="24"/>
        </w:rPr>
        <w:t>[M].</w:t>
      </w:r>
      <w:r>
        <w:rPr>
          <w:rFonts w:hint="eastAsia" w:ascii="Times New Roman" w:hAnsi="Times New Roman" w:eastAsia="楷体"/>
          <w:sz w:val="24"/>
        </w:rPr>
        <w:t>其他责任者(若为译著,为便于编者加工处理,所有译者全列,其后加“,译”)</w:t>
      </w:r>
      <w:r>
        <w:rPr>
          <w:rFonts w:ascii="Times New Roman" w:hAnsi="Times New Roman" w:eastAsia="楷体"/>
          <w:sz w:val="24"/>
        </w:rPr>
        <w:t>.</w:t>
      </w:r>
      <w:r>
        <w:rPr>
          <w:rFonts w:hint="eastAsia" w:ascii="Times New Roman" w:hAnsi="Times New Roman" w:eastAsia="楷体"/>
          <w:sz w:val="24"/>
        </w:rPr>
        <w:t>版本项(初版不写)</w:t>
      </w:r>
      <w:r>
        <w:rPr>
          <w:rFonts w:ascii="Times New Roman" w:hAnsi="Times New Roman" w:eastAsia="楷体"/>
          <w:sz w:val="24"/>
        </w:rPr>
        <w:t>.</w:t>
      </w:r>
      <w:r>
        <w:rPr>
          <w:rFonts w:hint="eastAsia" w:ascii="Times New Roman" w:hAnsi="Times New Roman" w:eastAsia="楷体"/>
          <w:sz w:val="24"/>
        </w:rPr>
        <w:t>出版地:出版者,出版年:引文页码</w:t>
      </w:r>
      <w:r>
        <w:rPr>
          <w:rFonts w:ascii="Times New Roman" w:hAnsi="Times New Roman" w:eastAsia="楷体"/>
          <w:sz w:val="24"/>
        </w:rPr>
        <w:t>.</w:t>
      </w:r>
    </w:p>
    <w:p w14:paraId="09489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  <w:rPr>
          <w:rFonts w:ascii="Times New Roman" w:hAnsi="Times New Roman" w:eastAsia="楷体"/>
          <w:sz w:val="24"/>
        </w:rPr>
      </w:pPr>
    </w:p>
    <w:p w14:paraId="5E2904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  <w:rPr>
          <w:rFonts w:ascii="Times New Roman" w:hAnsi="Times New Roman" w:eastAsia="楷体"/>
          <w:sz w:val="24"/>
          <w:szCs w:val="24"/>
        </w:rPr>
      </w:pPr>
      <w:r>
        <w:rPr>
          <w:rFonts w:ascii="Times New Roman" w:hAnsi="Times New Roman" w:eastAsia="楷体"/>
          <w:sz w:val="24"/>
          <w:szCs w:val="24"/>
        </w:rPr>
        <w:t>[</w:t>
      </w:r>
      <w:r>
        <w:rPr>
          <w:rFonts w:ascii="Times New Roman" w:hAnsi="Times New Roman" w:eastAsia="楷体" w:cs="Times New Roman"/>
          <w:sz w:val="24"/>
          <w:szCs w:val="24"/>
        </w:rPr>
        <w:t>1</w:t>
      </w:r>
      <w:r>
        <w:rPr>
          <w:rFonts w:ascii="Times New Roman" w:hAnsi="Times New Roman" w:eastAsia="楷体"/>
          <w:sz w:val="24"/>
          <w:szCs w:val="24"/>
        </w:rPr>
        <w:t xml:space="preserve">] </w:t>
      </w:r>
      <w:r>
        <w:rPr>
          <w:rFonts w:hint="eastAsia" w:ascii="Times New Roman" w:hAnsi="Times New Roman" w:eastAsia="楷体"/>
          <w:sz w:val="24"/>
          <w:szCs w:val="24"/>
        </w:rPr>
        <w:t>康建朝</w:t>
      </w:r>
      <w:r>
        <w:rPr>
          <w:rFonts w:ascii="Times New Roman" w:hAnsi="Times New Roman" w:eastAsia="楷体"/>
          <w:sz w:val="24"/>
          <w:szCs w:val="24"/>
        </w:rPr>
        <w:t>,</w:t>
      </w:r>
      <w:r>
        <w:rPr>
          <w:rFonts w:hint="eastAsia" w:ascii="Times New Roman" w:hAnsi="Times New Roman" w:eastAsia="楷体"/>
          <w:sz w:val="24"/>
          <w:szCs w:val="24"/>
        </w:rPr>
        <w:t>李栋</w:t>
      </w:r>
      <w:r>
        <w:rPr>
          <w:rFonts w:ascii="Times New Roman" w:hAnsi="Times New Roman" w:eastAsia="楷体"/>
          <w:sz w:val="24"/>
          <w:szCs w:val="24"/>
        </w:rPr>
        <w:t>.</w:t>
      </w:r>
      <w:r>
        <w:rPr>
          <w:rFonts w:hint="eastAsia" w:ascii="Times New Roman" w:hAnsi="Times New Roman" w:eastAsia="楷体"/>
          <w:sz w:val="24"/>
          <w:szCs w:val="24"/>
        </w:rPr>
        <w:t>芬兰基础教育</w:t>
      </w:r>
      <w:r>
        <w:rPr>
          <w:rFonts w:ascii="Times New Roman" w:hAnsi="Times New Roman" w:eastAsia="楷体"/>
          <w:sz w:val="24"/>
          <w:szCs w:val="24"/>
        </w:rPr>
        <w:t>[M].</w:t>
      </w:r>
      <w:r>
        <w:rPr>
          <w:rFonts w:hint="eastAsia" w:ascii="Times New Roman" w:hAnsi="Times New Roman" w:eastAsia="楷体"/>
          <w:sz w:val="24"/>
          <w:szCs w:val="24"/>
        </w:rPr>
        <w:t>上海</w:t>
      </w:r>
      <w:r>
        <w:rPr>
          <w:rFonts w:ascii="Times New Roman" w:hAnsi="Times New Roman" w:eastAsia="楷体"/>
          <w:sz w:val="24"/>
          <w:szCs w:val="24"/>
        </w:rPr>
        <w:t>:</w:t>
      </w:r>
      <w:r>
        <w:rPr>
          <w:rFonts w:hint="eastAsia" w:ascii="Times New Roman" w:hAnsi="Times New Roman" w:eastAsia="楷体"/>
          <w:sz w:val="24"/>
          <w:szCs w:val="24"/>
        </w:rPr>
        <w:t>同济大学出版社</w:t>
      </w:r>
      <w:r>
        <w:rPr>
          <w:rFonts w:ascii="Times New Roman" w:hAnsi="Times New Roman" w:eastAsia="楷体"/>
          <w:sz w:val="24"/>
          <w:szCs w:val="24"/>
        </w:rPr>
        <w:t>,</w:t>
      </w:r>
      <w:r>
        <w:rPr>
          <w:rFonts w:ascii="Times New Roman" w:hAnsi="Times New Roman" w:eastAsia="楷体" w:cs="Times New Roman"/>
          <w:sz w:val="24"/>
          <w:szCs w:val="24"/>
        </w:rPr>
        <w:t>2015:72</w:t>
      </w:r>
      <w:r>
        <w:rPr>
          <w:rFonts w:ascii="Times New Roman" w:hAnsi="Times New Roman" w:eastAsia="楷体"/>
          <w:sz w:val="24"/>
          <w:szCs w:val="24"/>
        </w:rPr>
        <w:t xml:space="preserve">. </w:t>
      </w:r>
    </w:p>
    <w:p w14:paraId="0144B4EF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/>
          <w:sz w:val="24"/>
          <w:szCs w:val="24"/>
        </w:rPr>
        <w:t xml:space="preserve">[2] </w:t>
      </w:r>
      <w:r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英</w:t>
      </w:r>
      <w:r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安东尼</w:t>
      </w:r>
      <w:r>
        <w:rPr>
          <w:rFonts w:ascii="Times New Roman" w:hAnsi="Times New Roman" w:eastAsia="楷体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吉登斯</w:t>
      </w:r>
      <w:r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社会理论与现代社会学[</w:t>
      </w:r>
      <w:r>
        <w:rPr>
          <w:rFonts w:ascii="Times New Roman" w:hAnsi="Times New Roman" w:eastAsia="楷体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].</w:t>
      </w:r>
      <w:r>
        <w:rPr>
          <w:rFonts w:hint="eastAsia"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文军,赵勇,译</w:t>
      </w:r>
      <w:r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北京</w:t>
      </w:r>
      <w:r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社会科学文献出版社,</w:t>
      </w:r>
      <w:r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2003:167-168.</w:t>
      </w:r>
    </w:p>
    <w:p w14:paraId="0F5383A1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  <w:rPr>
          <w:rFonts w:ascii="Times New Roman" w:hAnsi="Times New Roman" w:eastAsia="楷体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 xml:space="preserve">[3] </w:t>
      </w:r>
      <w:r>
        <w:rPr>
          <w:rFonts w:ascii="Times New Roman" w:hAnsi="Times New Roman" w:eastAsia="楷体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BLAU PETER M,ODDUNCAN. The American Occupational Structure[M].New York:Wiley Free Press,1967: 50.</w:t>
      </w:r>
    </w:p>
    <w:p w14:paraId="3633BADF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  <w:rPr>
          <w:rFonts w:ascii="Times New Roman" w:hAnsi="Times New Roman" w:eastAsia="楷体" w:cs="Times New Roman"/>
          <w:b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论文类:</w:t>
      </w:r>
    </w:p>
    <w:p w14:paraId="66AD0B78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  <w:rPr>
          <w:rFonts w:ascii="Times New Roman" w:hAnsi="Times New Roman" w:eastAsia="楷体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主要责任者</w:t>
      </w:r>
      <w:r>
        <w:rPr>
          <w:rFonts w:ascii="Times New Roman" w:hAnsi="Times New Roman" w:eastAsia="楷体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题名:其他题名信息</w:t>
      </w:r>
      <w:r>
        <w:rPr>
          <w:rFonts w:ascii="Times New Roman" w:hAnsi="Times New Roman" w:eastAsia="楷体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[D].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保存地:保存者</w:t>
      </w:r>
      <w:r>
        <w:rPr>
          <w:rFonts w:ascii="Times New Roman" w:hAnsi="Times New Roman" w:eastAsia="楷体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年份:页码</w:t>
      </w:r>
      <w:r>
        <w:rPr>
          <w:rFonts w:ascii="Times New Roman" w:hAnsi="Times New Roman" w:eastAsia="楷体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.</w:t>
      </w:r>
    </w:p>
    <w:p w14:paraId="74EC29E7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  <w:rPr>
          <w:rFonts w:ascii="Times New Roman" w:hAnsi="Times New Roman" w:eastAsia="楷体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</w:p>
    <w:p w14:paraId="7FF8795A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 xml:space="preserve">[1] </w:t>
      </w:r>
      <w:r>
        <w:rPr>
          <w:rFonts w:hint="eastAsia"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李政</w:t>
      </w:r>
      <w:r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职业教育现代学徒制的价值研究</w:t>
      </w:r>
      <w:r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[</w:t>
      </w:r>
      <w:r>
        <w:rPr>
          <w:rFonts w:ascii="Times New Roman" w:hAnsi="Times New Roman" w:eastAsia="楷体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].</w:t>
      </w:r>
      <w:r>
        <w:rPr>
          <w:rFonts w:hint="eastAsia"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上海:华东师范大学</w:t>
      </w:r>
      <w:r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,2019</w:t>
      </w:r>
      <w:r>
        <w:rPr>
          <w:rFonts w:hint="eastAsia"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:</w:t>
      </w:r>
      <w:r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56.</w:t>
      </w:r>
    </w:p>
    <w:p w14:paraId="6CFF4676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  <w:rPr>
          <w:rFonts w:ascii="Times New Roman" w:hAnsi="Times New Roman" w:eastAsia="楷体" w:cs="宋体"/>
          <w:b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宋体"/>
          <w:b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电子文献:</w:t>
      </w:r>
    </w:p>
    <w:p w14:paraId="2600EDB3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主要责任者</w:t>
      </w:r>
      <w:r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题名:其他题名信息</w:t>
      </w:r>
      <w:r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[EB/OL]</w:t>
      </w:r>
      <w:r>
        <w:rPr>
          <w:rFonts w:hint="eastAsia"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(联机网上电子公告)</w:t>
      </w:r>
      <w:r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(更新或修改日期)</w:t>
      </w:r>
      <w:r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获取和访问路径</w:t>
      </w:r>
      <w:r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.</w:t>
      </w:r>
    </w:p>
    <w:p w14:paraId="33349E26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</w:p>
    <w:p w14:paraId="0523092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  <w:rPr>
          <w:rFonts w:ascii="Times New Roman" w:hAnsi="Times New Roman" w:eastAsia="楷体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 xml:space="preserve">[1] </w:t>
      </w:r>
      <w:r>
        <w:rPr>
          <w:rFonts w:hint="eastAsia"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萧钰</w:t>
      </w:r>
      <w:r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出版业信息化迈入快车道</w:t>
      </w:r>
      <w:r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[</w:t>
      </w:r>
      <w:r>
        <w:rPr>
          <w:rFonts w:ascii="Times New Roman" w:hAnsi="Times New Roman" w:eastAsia="楷体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EB/OL</w:t>
      </w:r>
      <w:r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].(2001-12-19).</w:t>
      </w:r>
      <w:r>
        <w:rPr>
          <w:rFonts w:ascii="Times New Roman" w:hAnsi="Times New Roman" w:eastAsia="楷体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http:</w:t>
      </w:r>
      <w:r>
        <w:rPr>
          <w:rFonts w:hint="eastAsia"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∥</w:t>
      </w:r>
      <w:r>
        <w:rPr>
          <w:rFonts w:ascii="Times New Roman" w:hAnsi="Times New Roman" w:eastAsia="楷体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www.creader.com/news/ 200112190019.htm.</w:t>
      </w:r>
    </w:p>
    <w:p w14:paraId="03B5F236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  <w:rPr>
          <w:rFonts w:ascii="Times New Roman" w:hAnsi="Times New Roman" w:eastAsia="楷体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 xml:space="preserve">[2] 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国家中长期教育改革和发展规划纲要工作小组办公室</w:t>
      </w:r>
      <w:r>
        <w:rPr>
          <w:rFonts w:ascii="Times New Roman" w:hAnsi="Times New Roman" w:eastAsia="楷体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国家中长期教育改革和发展规划纲要(</w:t>
      </w:r>
      <w:r>
        <w:rPr>
          <w:rFonts w:ascii="Times New Roman" w:hAnsi="Times New Roman" w:eastAsia="楷体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2010-2020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年)</w:t>
      </w:r>
      <w:r>
        <w:rPr>
          <w:rFonts w:ascii="Times New Roman" w:hAnsi="Times New Roman" w:eastAsia="楷体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 xml:space="preserve"> [EB/OL].(2010-07-09).http://www.moe.gov.cn/srcsite/A01/s7048/201007/t20100729_171904.html.</w:t>
      </w:r>
    </w:p>
    <w:p w14:paraId="3CB1FA93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  <w:rPr>
          <w:rFonts w:ascii="Times New Roman" w:hAnsi="Times New Roman" w:eastAsia="楷体" w:cs="Times New Roman"/>
          <w:b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标准文献:</w:t>
      </w:r>
    </w:p>
    <w:p w14:paraId="0F8A5F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  <w:rPr>
          <w:rFonts w:ascii="Times New Roman" w:hAnsi="Times New Roman" w:eastAsia="楷体"/>
          <w:sz w:val="24"/>
        </w:rPr>
      </w:pPr>
      <w:r>
        <w:rPr>
          <w:rFonts w:hint="eastAsia" w:ascii="Times New Roman" w:hAnsi="Times New Roman" w:eastAsia="楷体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主要责任者</w:t>
      </w:r>
      <w:r>
        <w:rPr>
          <w:rFonts w:ascii="Times New Roman" w:hAnsi="Times New Roman" w:eastAsia="楷体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.</w:t>
      </w:r>
      <w:r>
        <w:t xml:space="preserve"> 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题名:其他题名信息</w:t>
      </w:r>
      <w:r>
        <w:rPr>
          <w:rFonts w:ascii="Times New Roman" w:hAnsi="Times New Roman" w:eastAsia="楷体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楷体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标准代号,标准名称</w:t>
      </w:r>
      <w:r>
        <w:rPr>
          <w:rFonts w:ascii="Times New Roman" w:hAnsi="Times New Roman" w:eastAsia="楷体" w:cs="Times New Roman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[S].</w:t>
      </w:r>
      <w:r>
        <w:rPr>
          <w:rFonts w:ascii="Times New Roman" w:hAnsi="Times New Roman" w:eastAsia="楷体"/>
          <w:sz w:val="24"/>
        </w:rPr>
        <w:t xml:space="preserve"> </w:t>
      </w:r>
      <w:r>
        <w:rPr>
          <w:rFonts w:hint="eastAsia" w:ascii="Times New Roman" w:hAnsi="Times New Roman" w:eastAsia="楷体"/>
          <w:sz w:val="24"/>
        </w:rPr>
        <w:t>出版地:出版者,出版年:引文页码</w:t>
      </w:r>
      <w:r>
        <w:rPr>
          <w:rFonts w:ascii="Times New Roman" w:hAnsi="Times New Roman" w:eastAsia="楷体"/>
          <w:sz w:val="24"/>
        </w:rPr>
        <w:t>.</w:t>
      </w:r>
    </w:p>
    <w:p w14:paraId="1EDDDB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  <w:rPr>
          <w:rFonts w:ascii="Times New Roman" w:hAnsi="Times New Roman" w:eastAsia="楷体"/>
          <w:sz w:val="24"/>
        </w:rPr>
      </w:pPr>
    </w:p>
    <w:p w14:paraId="7B027D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  <w:rPr>
          <w:rFonts w:ascii="Times New Roman" w:hAnsi="Times New Roman" w:eastAsia="楷体"/>
          <w:sz w:val="24"/>
        </w:rPr>
      </w:pPr>
      <w:r>
        <w:rPr>
          <w:rFonts w:ascii="Times New Roman" w:hAnsi="Times New Roman" w:eastAsia="楷体"/>
          <w:sz w:val="24"/>
        </w:rPr>
        <w:t xml:space="preserve">[1] </w:t>
      </w:r>
      <w:r>
        <w:rPr>
          <w:rFonts w:hint="eastAsia" w:ascii="Times New Roman" w:hAnsi="Times New Roman" w:eastAsia="楷体"/>
          <w:sz w:val="24"/>
        </w:rPr>
        <w:t>全国信息与文献标准化技术委员</w:t>
      </w:r>
      <w:r>
        <w:rPr>
          <w:rFonts w:ascii="Times New Roman" w:hAnsi="Times New Roman" w:eastAsia="楷体"/>
          <w:sz w:val="24"/>
        </w:rPr>
        <w:t>.</w:t>
      </w:r>
      <w:r>
        <w:rPr>
          <w:rFonts w:hint="eastAsia" w:ascii="Times New Roman" w:hAnsi="Times New Roman" w:eastAsia="楷体"/>
          <w:sz w:val="24"/>
        </w:rPr>
        <w:t>文献著录:第四部分</w:t>
      </w:r>
      <w:r>
        <w:rPr>
          <w:rFonts w:ascii="Times New Roman" w:hAnsi="Times New Roman" w:eastAsia="楷体"/>
          <w:sz w:val="24"/>
        </w:rPr>
        <w:t xml:space="preserve"> </w:t>
      </w:r>
      <w:r>
        <w:rPr>
          <w:rFonts w:hint="eastAsia" w:ascii="Times New Roman" w:hAnsi="Times New Roman" w:eastAsia="楷体"/>
          <w:sz w:val="24"/>
        </w:rPr>
        <w:t>非书资料:</w:t>
      </w:r>
      <w:r>
        <w:rPr>
          <w:rFonts w:ascii="Times New Roman" w:hAnsi="Times New Roman" w:eastAsia="楷体"/>
          <w:sz w:val="24"/>
        </w:rPr>
        <w:t>GB/T3792.4—2009[S].</w:t>
      </w:r>
      <w:r>
        <w:rPr>
          <w:rFonts w:hint="eastAsia" w:ascii="Times New Roman" w:hAnsi="Times New Roman" w:eastAsia="楷体"/>
          <w:sz w:val="24"/>
        </w:rPr>
        <w:t>北京:中国标准出版社,</w:t>
      </w:r>
      <w:r>
        <w:rPr>
          <w:rFonts w:ascii="Times New Roman" w:hAnsi="Times New Roman" w:eastAsia="楷体"/>
          <w:sz w:val="24"/>
        </w:rPr>
        <w:t>2010:3.</w:t>
      </w:r>
    </w:p>
    <w:p w14:paraId="57C49484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</w:p>
    <w:p w14:paraId="311F51F5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  <w:rPr>
          <w:rFonts w:ascii="Times New Roman" w:hAnsi="Times New Roman" w:eastAsia="楷体" w:cs="宋体"/>
          <w:b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宋体"/>
          <w:b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析出文献:</w:t>
      </w:r>
    </w:p>
    <w:p w14:paraId="3DDB58D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从专著中析出独立著者､独立篇名的文献</w:t>
      </w:r>
      <w:r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其析出文献与源文献的关系用“</w:t>
      </w:r>
      <w:r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//”</w:t>
      </w:r>
      <w:r>
        <w:rPr>
          <w:rFonts w:hint="eastAsia"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表示｡从报刊中析出具有独立著者､独立篇名的文献</w:t>
      </w:r>
      <w:r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其析出文献与源文献的关系用“</w:t>
      </w:r>
      <w:r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.”</w:t>
      </w:r>
      <w:r>
        <w:rPr>
          <w:rFonts w:hint="eastAsia"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表示｡从期刊中析出的文章</w:t>
      </w:r>
      <w:r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应在刊名标明年､卷､期､页码｡</w:t>
      </w:r>
    </w:p>
    <w:p w14:paraId="5D5DB2D1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</w:p>
    <w:p w14:paraId="6FD022A8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 xml:space="preserve">[1] </w:t>
      </w:r>
      <w:r>
        <w:rPr>
          <w:rFonts w:hint="eastAsia"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姚中秋</w:t>
      </w:r>
      <w:r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作为一种制度变迁模式的“转型”</w:t>
      </w:r>
      <w:r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[M]//</w:t>
      </w:r>
      <w:r>
        <w:rPr>
          <w:rFonts w:hint="eastAsia"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罗卫东,姚中秋</w:t>
      </w:r>
      <w:r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中国转型的理论分析:奥地利学派的视角</w:t>
      </w:r>
      <w:r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杭州:浙江大学出版社,</w:t>
      </w:r>
      <w:r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2009:44.</w:t>
      </w:r>
    </w:p>
    <w:p w14:paraId="111933E2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</w:pPr>
      <w:r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 xml:space="preserve">[2] </w:t>
      </w:r>
      <w:r>
        <w:rPr>
          <w:rFonts w:hint="eastAsia"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关立哲,韩纪富,张晨钰</w:t>
      </w:r>
      <w:r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科技期刊编辑审读中要注重比较思维的科学运用</w:t>
      </w:r>
      <w:r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[J].</w:t>
      </w:r>
      <w:r>
        <w:rPr>
          <w:rFonts w:hint="eastAsia"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编辑学报,</w:t>
      </w:r>
      <w:r>
        <w:rPr>
          <w:rFonts w:ascii="Times New Roman" w:hAnsi="Times New Roman" w:eastAsia="楷体" w:cs="宋体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2014,26(2):144-146.</w:t>
      </w:r>
    </w:p>
    <w:p w14:paraId="16CDBF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left="0"/>
        <w:textAlignment w:val="auto"/>
        <w:rPr>
          <w:rFonts w:hint="eastAsia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Narkisim">
    <w:altName w:val="Segoe Print"/>
    <w:panose1 w:val="020E0502050101010101"/>
    <w:charset w:val="B1"/>
    <w:family w:val="swiss"/>
    <w:pitch w:val="default"/>
    <w:sig w:usb0="00000000" w:usb1="00000000" w:usb2="00000000" w:usb3="00000000" w:csb0="0000002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8DD1A">
    <w:pPr>
      <w:pStyle w:val="5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C8FFBF">
                          <w:pPr>
                            <w:pStyle w:val="5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C8FFBF">
                    <w:pPr>
                      <w:pStyle w:val="5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1C09FEBE">
      <w:pPr>
        <w:pStyle w:val="7"/>
        <w:ind w:left="240" w:hanging="240" w:hangingChars="100"/>
        <w:rPr>
          <w:rFonts w:ascii="仿宋" w:hAnsi="仿宋" w:eastAsia="仿宋"/>
        </w:rPr>
      </w:pPr>
      <w:r>
        <w:rPr>
          <w:rStyle w:val="15"/>
          <w:rFonts w:ascii="楷体" w:hAnsi="楷体" w:eastAsia="楷体"/>
          <w:sz w:val="24"/>
          <w:szCs w:val="24"/>
          <w:vertAlign w:val="baseline"/>
        </w:rPr>
        <w:footnoteRef/>
      </w:r>
      <w:r>
        <w:rPr>
          <w:rFonts w:hint="eastAsia" w:ascii="楷体" w:hAnsi="楷体" w:eastAsia="楷体"/>
          <w:sz w:val="24"/>
          <w:szCs w:val="24"/>
        </w:rPr>
        <w:t>获省部级及以上基金项目资助的文章请注明项目名称及编号（楷体小四号）。示例——基金项目：国家社科基金高校思政课研究专项“国家认同视域下的革命英勇记忆传承研究”（项目编号：</w:t>
      </w:r>
      <w:r>
        <w:rPr>
          <w:rFonts w:ascii="楷体" w:hAnsi="楷体" w:eastAsia="楷体" w:cs="Times New Roman"/>
          <w:sz w:val="24"/>
          <w:szCs w:val="24"/>
        </w:rPr>
        <w:t>19VSZ112</w:t>
      </w:r>
      <w:r>
        <w:rPr>
          <w:rFonts w:hint="eastAsia" w:ascii="楷体" w:hAnsi="楷体" w:eastAsia="楷体"/>
          <w:sz w:val="24"/>
          <w:szCs w:val="24"/>
        </w:rPr>
        <w:t>）。                           涉及多个基金项目的，写法为：                                         a.项目说明***（项目编号：***）；b. 项目说明***（项目编号：***）；……。                                                         有通讯作者的，在基金项目说明下另起一行列出，写法为：                 通讯作者：姓名，</w:t>
      </w:r>
      <w:r>
        <w:rPr>
          <w:rFonts w:ascii="Times New Roman" w:hAnsi="Times New Roman" w:eastAsia="楷体" w:cs="Times New Roman"/>
          <w:sz w:val="24"/>
          <w:szCs w:val="24"/>
        </w:rPr>
        <w:t>E-mail</w:t>
      </w:r>
      <w:r>
        <w:rPr>
          <w:rFonts w:hint="eastAsia" w:ascii="楷体" w:hAnsi="楷体" w:eastAsia="楷体"/>
          <w:sz w:val="24"/>
          <w:szCs w:val="24"/>
        </w:rPr>
        <w:t>：***。</w:t>
      </w:r>
    </w:p>
  </w:footnote>
  <w:footnote w:id="1">
    <w:p w14:paraId="3CEB71AF">
      <w:pPr>
        <w:pStyle w:val="7"/>
        <w:rPr>
          <w:rFonts w:ascii="楷体" w:hAnsi="楷体" w:eastAsia="楷体"/>
          <w:sz w:val="24"/>
          <w:szCs w:val="24"/>
        </w:rPr>
      </w:pPr>
      <w:r>
        <w:rPr>
          <w:rStyle w:val="15"/>
          <w:rFonts w:ascii="楷体" w:hAnsi="楷体" w:eastAsia="楷体"/>
          <w:sz w:val="24"/>
          <w:szCs w:val="24"/>
          <w:vertAlign w:val="baseline"/>
        </w:rPr>
        <w:footnoteRef/>
      </w:r>
      <w:r>
        <w:rPr>
          <w:rFonts w:ascii="楷体" w:hAnsi="楷体" w:eastAsia="楷体"/>
          <w:sz w:val="24"/>
          <w:szCs w:val="24"/>
        </w:rPr>
        <w:t xml:space="preserve"> </w:t>
      </w:r>
      <w:r>
        <w:rPr>
          <w:rFonts w:hint="eastAsia" w:ascii="楷体" w:hAnsi="楷体" w:eastAsia="楷体"/>
          <w:sz w:val="24"/>
          <w:szCs w:val="24"/>
        </w:rPr>
        <w:t>注释采用文中脚注的形式，全文连续排序，采用带圈数字（楷体小四号）。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DEA45"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EE414F"/>
    <w:multiLevelType w:val="singleLevel"/>
    <w:tmpl w:val="B6EE414F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3N2JjMmU1ZGY3NzYyNTA1YjI1ODVmYThhZjQ4NWMifQ=="/>
  </w:docVars>
  <w:rsids>
    <w:rsidRoot w:val="66ED0C0D"/>
    <w:rsid w:val="00180A91"/>
    <w:rsid w:val="00511002"/>
    <w:rsid w:val="01227D26"/>
    <w:rsid w:val="01E2668B"/>
    <w:rsid w:val="020E7C68"/>
    <w:rsid w:val="028458A5"/>
    <w:rsid w:val="02E56F24"/>
    <w:rsid w:val="047563BF"/>
    <w:rsid w:val="053A1E2A"/>
    <w:rsid w:val="057B5C57"/>
    <w:rsid w:val="05BE6CDA"/>
    <w:rsid w:val="05F72A1E"/>
    <w:rsid w:val="06165D7B"/>
    <w:rsid w:val="06A04E51"/>
    <w:rsid w:val="07292D2B"/>
    <w:rsid w:val="08320A23"/>
    <w:rsid w:val="0837418F"/>
    <w:rsid w:val="089E3E17"/>
    <w:rsid w:val="095F5C0E"/>
    <w:rsid w:val="09CB559C"/>
    <w:rsid w:val="09D9119E"/>
    <w:rsid w:val="09F00295"/>
    <w:rsid w:val="0A724AAE"/>
    <w:rsid w:val="0AB72EB7"/>
    <w:rsid w:val="0D6D057B"/>
    <w:rsid w:val="0DA81358"/>
    <w:rsid w:val="0F0E18EA"/>
    <w:rsid w:val="10461B81"/>
    <w:rsid w:val="10C954D8"/>
    <w:rsid w:val="11001706"/>
    <w:rsid w:val="11D51626"/>
    <w:rsid w:val="1289723D"/>
    <w:rsid w:val="12F646AB"/>
    <w:rsid w:val="13837DFD"/>
    <w:rsid w:val="14134B52"/>
    <w:rsid w:val="14E2694B"/>
    <w:rsid w:val="152E0C40"/>
    <w:rsid w:val="165E6C23"/>
    <w:rsid w:val="17082C7D"/>
    <w:rsid w:val="1740460A"/>
    <w:rsid w:val="17EF24D2"/>
    <w:rsid w:val="18756535"/>
    <w:rsid w:val="18BB0C02"/>
    <w:rsid w:val="1A561651"/>
    <w:rsid w:val="1A5D54D3"/>
    <w:rsid w:val="1BFA6226"/>
    <w:rsid w:val="1C99656B"/>
    <w:rsid w:val="1CCF5E36"/>
    <w:rsid w:val="1D830E24"/>
    <w:rsid w:val="1D9B6A3E"/>
    <w:rsid w:val="1E5B6B21"/>
    <w:rsid w:val="1EDF295B"/>
    <w:rsid w:val="1EFE30F7"/>
    <w:rsid w:val="1F176598"/>
    <w:rsid w:val="1F617814"/>
    <w:rsid w:val="1FD9384E"/>
    <w:rsid w:val="213411B9"/>
    <w:rsid w:val="22246549"/>
    <w:rsid w:val="24EC5DD1"/>
    <w:rsid w:val="255928EB"/>
    <w:rsid w:val="25AE752B"/>
    <w:rsid w:val="26725BEF"/>
    <w:rsid w:val="27D36040"/>
    <w:rsid w:val="27DB7654"/>
    <w:rsid w:val="2ACB0237"/>
    <w:rsid w:val="2AD12EEC"/>
    <w:rsid w:val="2B110340"/>
    <w:rsid w:val="2B75075B"/>
    <w:rsid w:val="2B9C4B6B"/>
    <w:rsid w:val="2C3562B0"/>
    <w:rsid w:val="2CCE400E"/>
    <w:rsid w:val="2E132621"/>
    <w:rsid w:val="2EDB6DBC"/>
    <w:rsid w:val="2F995402"/>
    <w:rsid w:val="2FE643BF"/>
    <w:rsid w:val="31051A8D"/>
    <w:rsid w:val="31F41FFF"/>
    <w:rsid w:val="3386453D"/>
    <w:rsid w:val="34192013"/>
    <w:rsid w:val="346B3F92"/>
    <w:rsid w:val="34A0404C"/>
    <w:rsid w:val="35001856"/>
    <w:rsid w:val="35407C55"/>
    <w:rsid w:val="36903383"/>
    <w:rsid w:val="369E0EF6"/>
    <w:rsid w:val="37FD32CC"/>
    <w:rsid w:val="390F6270"/>
    <w:rsid w:val="39440A0C"/>
    <w:rsid w:val="39646DB1"/>
    <w:rsid w:val="39972D53"/>
    <w:rsid w:val="3A954083"/>
    <w:rsid w:val="3AEE41FA"/>
    <w:rsid w:val="3B070996"/>
    <w:rsid w:val="3B6A65EA"/>
    <w:rsid w:val="3C265C15"/>
    <w:rsid w:val="3C8E212B"/>
    <w:rsid w:val="3CE64969"/>
    <w:rsid w:val="3D152CAE"/>
    <w:rsid w:val="3E7D0BA5"/>
    <w:rsid w:val="3F0719B3"/>
    <w:rsid w:val="3F163D1F"/>
    <w:rsid w:val="40985945"/>
    <w:rsid w:val="409B7C4C"/>
    <w:rsid w:val="40A105ED"/>
    <w:rsid w:val="41DF489C"/>
    <w:rsid w:val="42650D34"/>
    <w:rsid w:val="42935246"/>
    <w:rsid w:val="436639E6"/>
    <w:rsid w:val="442009CB"/>
    <w:rsid w:val="44254A04"/>
    <w:rsid w:val="443D3AFC"/>
    <w:rsid w:val="464F0F33"/>
    <w:rsid w:val="466E4440"/>
    <w:rsid w:val="46B01136"/>
    <w:rsid w:val="47094169"/>
    <w:rsid w:val="477E34C1"/>
    <w:rsid w:val="47F6008F"/>
    <w:rsid w:val="48F0738F"/>
    <w:rsid w:val="490E1F0B"/>
    <w:rsid w:val="499F0DB5"/>
    <w:rsid w:val="4A437992"/>
    <w:rsid w:val="4A525BE4"/>
    <w:rsid w:val="4A631D92"/>
    <w:rsid w:val="4C263D95"/>
    <w:rsid w:val="4CAB13E9"/>
    <w:rsid w:val="4CE3088A"/>
    <w:rsid w:val="4D36739D"/>
    <w:rsid w:val="4D3C262E"/>
    <w:rsid w:val="4E207E07"/>
    <w:rsid w:val="4F1B2C8C"/>
    <w:rsid w:val="4F336227"/>
    <w:rsid w:val="50333DEC"/>
    <w:rsid w:val="50A2594A"/>
    <w:rsid w:val="5119769F"/>
    <w:rsid w:val="51A67184"/>
    <w:rsid w:val="51AC040F"/>
    <w:rsid w:val="51EF651F"/>
    <w:rsid w:val="5209271B"/>
    <w:rsid w:val="57530D91"/>
    <w:rsid w:val="57C87729"/>
    <w:rsid w:val="5822508B"/>
    <w:rsid w:val="5ACD4893"/>
    <w:rsid w:val="5AD703AE"/>
    <w:rsid w:val="5C593045"/>
    <w:rsid w:val="5F2E2567"/>
    <w:rsid w:val="5FAB1E0A"/>
    <w:rsid w:val="5FCF5AE5"/>
    <w:rsid w:val="5FEB0458"/>
    <w:rsid w:val="606B38F1"/>
    <w:rsid w:val="60FF3B2A"/>
    <w:rsid w:val="6129614D"/>
    <w:rsid w:val="61D07906"/>
    <w:rsid w:val="61FB637A"/>
    <w:rsid w:val="6221286F"/>
    <w:rsid w:val="622A1136"/>
    <w:rsid w:val="6403637C"/>
    <w:rsid w:val="64221AD1"/>
    <w:rsid w:val="64764597"/>
    <w:rsid w:val="66725DEB"/>
    <w:rsid w:val="668F4233"/>
    <w:rsid w:val="66CE3047"/>
    <w:rsid w:val="66ED0C0D"/>
    <w:rsid w:val="69847953"/>
    <w:rsid w:val="69D106BF"/>
    <w:rsid w:val="6AB9362D"/>
    <w:rsid w:val="6AEF34F2"/>
    <w:rsid w:val="6B8535B2"/>
    <w:rsid w:val="6BA706C6"/>
    <w:rsid w:val="6BF07522"/>
    <w:rsid w:val="6C272818"/>
    <w:rsid w:val="6DD10452"/>
    <w:rsid w:val="6DDF56D4"/>
    <w:rsid w:val="6E005A16"/>
    <w:rsid w:val="6E35746E"/>
    <w:rsid w:val="6E4465F2"/>
    <w:rsid w:val="6F6506B5"/>
    <w:rsid w:val="6FAF4FFE"/>
    <w:rsid w:val="70A52BCA"/>
    <w:rsid w:val="70AE00A1"/>
    <w:rsid w:val="70C2594D"/>
    <w:rsid w:val="7100515F"/>
    <w:rsid w:val="71F118FE"/>
    <w:rsid w:val="71FB53D1"/>
    <w:rsid w:val="721C0167"/>
    <w:rsid w:val="73F0527B"/>
    <w:rsid w:val="748233E3"/>
    <w:rsid w:val="748922C2"/>
    <w:rsid w:val="75687726"/>
    <w:rsid w:val="75BA7EA9"/>
    <w:rsid w:val="75D9228C"/>
    <w:rsid w:val="76285B0A"/>
    <w:rsid w:val="7634625D"/>
    <w:rsid w:val="766823AB"/>
    <w:rsid w:val="774A43B9"/>
    <w:rsid w:val="77814308"/>
    <w:rsid w:val="7790326E"/>
    <w:rsid w:val="77910CC6"/>
    <w:rsid w:val="77C83101"/>
    <w:rsid w:val="77F9775E"/>
    <w:rsid w:val="785106A3"/>
    <w:rsid w:val="78515A11"/>
    <w:rsid w:val="79083885"/>
    <w:rsid w:val="7A527419"/>
    <w:rsid w:val="7BC72716"/>
    <w:rsid w:val="7D2A660C"/>
    <w:rsid w:val="7DB008BF"/>
    <w:rsid w:val="7E857F9E"/>
    <w:rsid w:val="7F196938"/>
    <w:rsid w:val="7F40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20" w:lineRule="exact"/>
      <w:outlineLvl w:val="2"/>
    </w:pPr>
    <w:rPr>
      <w:rFonts w:eastAsia="楷体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footnote text"/>
    <w:basedOn w:val="1"/>
    <w:semiHidden/>
    <w:unhideWhenUsed/>
    <w:qFormat/>
    <w:uiPriority w:val="99"/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39"/>
    <w:rPr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FF0000"/>
      <w:u w:val="none"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footnote reference"/>
    <w:basedOn w:val="11"/>
    <w:semiHidden/>
    <w:unhideWhenUsed/>
    <w:qFormat/>
    <w:uiPriority w:val="99"/>
    <w:rPr>
      <w:vertAlign w:val="superscript"/>
    </w:rPr>
  </w:style>
  <w:style w:type="paragraph" w:styleId="16">
    <w:name w:val="List Paragraph"/>
    <w:basedOn w:val="1"/>
    <w:qFormat/>
    <w:uiPriority w:val="0"/>
    <w:pPr>
      <w:widowControl/>
      <w:spacing w:after="200" w:line="252" w:lineRule="auto"/>
      <w:ind w:left="720"/>
      <w:contextualSpacing/>
      <w:jc w:val="left"/>
    </w:pPr>
    <w:rPr>
      <w:rFonts w:ascii="Cambria" w:hAnsi="Cambria"/>
      <w:kern w:val="0"/>
      <w:sz w:val="22"/>
      <w:szCs w:val="2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2766</Words>
  <Characters>3460</Characters>
  <Lines>0</Lines>
  <Paragraphs>0</Paragraphs>
  <TotalTime>28</TotalTime>
  <ScaleCrop>false</ScaleCrop>
  <LinksUpToDate>false</LinksUpToDate>
  <CharactersWithSpaces>3727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2024-02-27T05:45:00Z</dcterms:created>
  <dc:creator>WPS_1663852552</dc:creator>
  <cp:lastModifiedBy>WPS_1663852552</cp:lastModifiedBy>
  <cp:lastPrinted>2025-03-29T08:22:00Z</cp:lastPrinted>
  <dcterms:modified xsi:type="dcterms:W3CDTF">2025-03-29T08:36:24Z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8A2E382677894D79A194A9D47D5D48A6_11</vt:lpwstr>
  </property>
  <property fmtid="{D5CDD505-2E9C-101B-9397-08002B2CF9AE}" pid="4" name="KSOTemplateDocerSaveRecord">
    <vt:lpwstr>eyJoZGlkIjoiNWU0ZGQzY2E4MDQ3MGQwNjM5MjlkZDljMWEyOWYyNDkiLCJ1c2VySWQiOiIxNDEzNDY5MzY2In0=</vt:lpwstr>
  </property>
</Properties>
</file>