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B3AF1E">
      <w:pPr>
        <w:kinsoku/>
        <w:topLinePunct/>
        <w:autoSpaceDE/>
        <w:autoSpaceDN/>
        <w:spacing w:line="249" w:lineRule="auto"/>
        <w:rPr>
          <w:rFonts w:ascii="Times New Roman" w:hAnsi="Times New Roman" w:eastAsia="黑体" w:cs="Times New Roman"/>
          <w:sz w:val="32"/>
          <w:szCs w:val="32"/>
          <w:lang w:eastAsia="zh-CN"/>
        </w:rPr>
      </w:pPr>
      <w:bookmarkStart w:id="0" w:name="_GoBack"/>
      <w:bookmarkEnd w:id="0"/>
      <w:r>
        <w:rPr>
          <w:rFonts w:ascii="Times New Roman" w:hAnsi="Times New Roman" w:eastAsia="黑体" w:cs="Times New Roman"/>
          <w:sz w:val="32"/>
          <w:szCs w:val="32"/>
          <w:lang w:eastAsia="zh-CN"/>
        </w:rPr>
        <w:t>附件1</w:t>
      </w:r>
    </w:p>
    <w:p w14:paraId="57E88E29">
      <w:pPr>
        <w:kinsoku/>
        <w:topLinePunct/>
        <w:autoSpaceDE/>
        <w:autoSpaceDN/>
        <w:spacing w:line="700" w:lineRule="exact"/>
        <w:jc w:val="center"/>
        <w:rPr>
          <w:rFonts w:ascii="Times New Roman" w:hAnsi="Times New Roman" w:eastAsia="方正小标宋简体" w:cs="Times New Roman"/>
          <w:spacing w:val="-2"/>
          <w:sz w:val="44"/>
          <w:szCs w:val="44"/>
          <w:lang w:eastAsia="zh-CN"/>
        </w:rPr>
      </w:pPr>
    </w:p>
    <w:p w14:paraId="411DD16E">
      <w:pPr>
        <w:kinsoku/>
        <w:topLinePunct/>
        <w:autoSpaceDE/>
        <w:autoSpaceDN/>
        <w:jc w:val="center"/>
        <w:rPr>
          <w:rFonts w:ascii="Times New Roman" w:hAnsi="Times New Roman" w:eastAsia="方正小标宋简体" w:cs="Times New Roman"/>
          <w:spacing w:val="-2"/>
          <w:sz w:val="44"/>
          <w:szCs w:val="44"/>
          <w:lang w:eastAsia="zh-CN"/>
        </w:rPr>
      </w:pPr>
      <w:r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1093470</wp:posOffset>
                </wp:positionH>
                <wp:positionV relativeFrom="paragraph">
                  <wp:posOffset>141605</wp:posOffset>
                </wp:positionV>
                <wp:extent cx="6350" cy="3175"/>
                <wp:effectExtent l="0" t="0" r="0" b="0"/>
                <wp:wrapNone/>
                <wp:docPr id="1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3175"/>
                        </a:xfrm>
                        <a:prstGeom prst="rect">
                          <a:avLst/>
                        </a:prstGeom>
                        <a:solidFill>
                          <a:srgbClr val="F84047"/>
                        </a:solidFill>
                        <a:ln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2" o:spid="_x0000_s1026" o:spt="1" style="position:absolute;left:0pt;margin-left:86.1pt;margin-top:11.15pt;height:0.25pt;width:0.5pt;z-index:251659264;mso-width-relative:page;mso-height-relative:page;" fillcolor="#F84047" filled="t" stroked="f" coordsize="21600,21600" o:gfxdata="UEsDBAoAAAAAAIdO4kAAAAAAAAAAAAAAAAAEAAAAZHJzL1BLAwQUAAAACACHTuJANG76GNYAAAAJ&#10;AQAADwAAAGRycy9kb3ducmV2LnhtbE2PzU7DMBCE70i8g7VI3KgTVyJViFMhEIeKU384cHPiJUkb&#10;r6PYbdO3Z3OC48x+mp0p1pPrxQXH0HnSkC4SEEi1tx01Gg77j6cViBANWdN7Qg03DLAu7+8Kk1t/&#10;pS1edrERHEIhNxraGIdcylC36ExY+AGJbz9+dCayHBtpR3PlcNdLlSTP0pmO+ENrBnxrsT7tzk5D&#10;zG7798RtXqtv/5VOx+2n38RK68eHNHkBEXGKfzDM9bk6lNyp8meyQfSsM6UY1aDUEsQMZEs2qtlY&#10;gSwL+X9B+QtQSwMEFAAAAAgAh07iQCpxHtq4AQAAaAMAAA4AAABkcnMvZTJvRG9jLnhtbK1TS27b&#10;MBDdF8gdCO5ryc4XguUsajibog2Q5gA0RUkE+OsMbdmnCZBdD9HjFL1Gh5TqtOkmi26o+fHNvDfU&#10;8vZgDdsrQO1dzeezkjPlpG+062r++GXz/oYzjMI1wninan5UyG9XZ++WQ6jUwvfeNAoYgTishlDz&#10;PsZQFQXKXlmBMx+Uo2TrwYpILnRFA2IgdGuKRVleFYOHJoCXCpGi6zHJJ0R4C6BvWy3V2sudVS6O&#10;qKCMiEQJex2Qr/K0batk/Ny2qCIzNSemMZ/UhOxtOovVUlQdiNBrOY0g3jLCK05WaEdNT1BrEQXb&#10;gf4HymoJHn0bZ9LbYiSSFSEW8/KVNg+9CCpzIakxnETH/wcrP+3vgemGXgJnTlha+M+nbz++P7NF&#10;0mYIWFHJQ7iHyUMyE9FDCzZ9iQI7ZD2PJz3VITJJwavzS9JZUuJ8fn2Z8IqXiwEw3ilvWTJqDrSq&#10;rKDYf8Q4lv4uSX3QG91stDHZgW77wQDbC1rr5uaivLie0P8qMy4VO5+ujYgpUiRSI41kbX1zJAkG&#10;egM1x687AYqzXQDd9TTWPOOmOlpAnn96LGnDf/oZ9+UHWf0C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NG76GNYAAAAJAQAADwAAAAAAAAABACAAAAAiAAAAZHJzL2Rvd25yZXYueG1sUEsBAhQAFAAA&#10;AAgAh07iQCpxHtq4AQAAaAMAAA4AAAAAAAAAAQAgAAAAJQEAAGRycy9lMm9Eb2MueG1sUEsFBgAA&#10;AAAGAAYAWQEAAE8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eastAsia="方正小标宋简体" w:cs="Times New Roman"/>
          <w:spacing w:val="-2"/>
          <w:sz w:val="44"/>
          <w:szCs w:val="44"/>
          <w:lang w:eastAsia="zh-CN"/>
        </w:rPr>
        <w:t>2025年度山西省</w:t>
      </w:r>
      <w:r>
        <w:rPr>
          <w:rFonts w:hint="eastAsia" w:ascii="Times New Roman" w:hAnsi="Times New Roman" w:eastAsia="方正小标宋简体" w:cs="Times New Roman"/>
          <w:spacing w:val="-2"/>
          <w:sz w:val="44"/>
          <w:szCs w:val="44"/>
          <w:lang w:eastAsia="zh-CN"/>
        </w:rPr>
        <w:t>终身</w:t>
      </w:r>
      <w:r>
        <w:rPr>
          <w:rFonts w:ascii="Times New Roman" w:hAnsi="Times New Roman" w:eastAsia="方正小标宋简体" w:cs="Times New Roman"/>
          <w:spacing w:val="-2"/>
          <w:sz w:val="44"/>
          <w:szCs w:val="44"/>
          <w:lang w:eastAsia="zh-CN"/>
        </w:rPr>
        <w:t>教育高质量发展</w:t>
      </w:r>
    </w:p>
    <w:p w14:paraId="5666A933">
      <w:pPr>
        <w:kinsoku/>
        <w:topLinePunct/>
        <w:autoSpaceDE/>
        <w:autoSpaceDN/>
        <w:jc w:val="center"/>
        <w:rPr>
          <w:rFonts w:ascii="Times New Roman" w:hAnsi="Times New Roman" w:eastAsia="方正小标宋简体" w:cs="Times New Roman"/>
          <w:spacing w:val="-2"/>
          <w:sz w:val="44"/>
          <w:szCs w:val="44"/>
          <w:lang w:eastAsia="zh-CN"/>
        </w:rPr>
      </w:pPr>
      <w:r>
        <w:rPr>
          <w:rFonts w:ascii="Times New Roman" w:hAnsi="Times New Roman" w:eastAsia="方正小标宋简体" w:cs="Times New Roman"/>
          <w:spacing w:val="-2"/>
          <w:sz w:val="44"/>
          <w:szCs w:val="44"/>
          <w:lang w:eastAsia="zh-CN"/>
        </w:rPr>
        <w:t>重大专项研究课题选题指南</w:t>
      </w:r>
    </w:p>
    <w:p w14:paraId="29B70C5A">
      <w:pPr>
        <w:pStyle w:val="2"/>
        <w:adjustRightInd/>
        <w:snapToGrid/>
        <w:spacing w:line="56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  <w:lang w:eastAsia="zh-CN"/>
        </w:rPr>
      </w:pPr>
    </w:p>
    <w:p w14:paraId="19363F19">
      <w:pPr>
        <w:pStyle w:val="2"/>
        <w:adjustRightInd/>
        <w:snapToGrid/>
        <w:spacing w:line="56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1.习近平总书记关于终身教育重要论述研究</w:t>
      </w:r>
    </w:p>
    <w:p w14:paraId="6338B7B2">
      <w:pPr>
        <w:pStyle w:val="2"/>
        <w:adjustRightInd/>
        <w:snapToGrid/>
        <w:spacing w:line="56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2.终身教育理念的传承与实践创新研究</w:t>
      </w:r>
    </w:p>
    <w:p w14:paraId="778894DD">
      <w:pPr>
        <w:pStyle w:val="2"/>
        <w:adjustRightInd/>
        <w:snapToGrid/>
        <w:spacing w:line="56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3.山西省全民终身教育立法的重点难点研究</w:t>
      </w:r>
    </w:p>
    <w:p w14:paraId="67DE953F">
      <w:pPr>
        <w:pStyle w:val="2"/>
        <w:adjustRightInd/>
        <w:snapToGrid/>
        <w:spacing w:line="56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4.山西构建泛在可及的终身教育体系策略和路径研究</w:t>
      </w:r>
    </w:p>
    <w:p w14:paraId="3FF33952">
      <w:pPr>
        <w:pStyle w:val="2"/>
        <w:adjustRightInd/>
        <w:snapToGrid/>
        <w:spacing w:line="56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5.数字化背景下山西学分银行建设研究</w:t>
      </w:r>
    </w:p>
    <w:p w14:paraId="3E571C5D">
      <w:pPr>
        <w:pStyle w:val="2"/>
        <w:adjustRightInd/>
        <w:snapToGrid/>
        <w:spacing w:line="56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6.学习强国战略与人才培养研究</w:t>
      </w:r>
    </w:p>
    <w:p w14:paraId="0B5C3BBC">
      <w:pPr>
        <w:pStyle w:val="2"/>
        <w:adjustRightInd/>
        <w:snapToGrid/>
        <w:spacing w:line="56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7.数字化赋能教育强省建设研究</w:t>
      </w:r>
    </w:p>
    <w:p w14:paraId="7490AA49">
      <w:pPr>
        <w:pStyle w:val="2"/>
        <w:adjustRightInd/>
        <w:snapToGrid/>
        <w:spacing w:line="56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8.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终身</w:t>
      </w: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教育服务新质生产力发展研究</w:t>
      </w:r>
    </w:p>
    <w:p w14:paraId="05C2B128">
      <w:pPr>
        <w:pStyle w:val="2"/>
        <w:adjustRightInd/>
        <w:snapToGrid/>
        <w:spacing w:line="56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9.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终身</w:t>
      </w: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教育资源的精准供给与区域协同研究</w:t>
      </w:r>
    </w:p>
    <w:p w14:paraId="745D1C5E">
      <w:pPr>
        <w:pStyle w:val="2"/>
        <w:adjustRightInd/>
        <w:snapToGrid/>
        <w:spacing w:line="56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10.山西教育公共服务平台优化研究</w:t>
      </w:r>
    </w:p>
    <w:p w14:paraId="443E91C8">
      <w:pPr>
        <w:pStyle w:val="2"/>
        <w:adjustRightInd/>
        <w:snapToGrid/>
        <w:spacing w:line="56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11.教育强省与社区教育协同发展研究</w:t>
      </w:r>
    </w:p>
    <w:p w14:paraId="24866B95">
      <w:pPr>
        <w:pStyle w:val="2"/>
        <w:adjustRightInd/>
        <w:snapToGrid/>
        <w:spacing w:line="56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12.教育强省战略赋能地方经济发展的路径探索</w:t>
      </w:r>
    </w:p>
    <w:p w14:paraId="4ADD9D6D">
      <w:pPr>
        <w:pStyle w:val="2"/>
        <w:adjustRightInd/>
        <w:snapToGrid/>
        <w:spacing w:line="56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13.开放教育与终身学习体系研究</w:t>
      </w:r>
    </w:p>
    <w:p w14:paraId="3F6A384F">
      <w:pPr>
        <w:pStyle w:val="2"/>
        <w:adjustRightInd/>
        <w:snapToGrid/>
        <w:spacing w:line="56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14.开放教育与技术应用研究</w:t>
      </w:r>
    </w:p>
    <w:p w14:paraId="51E9B8F6">
      <w:pPr>
        <w:pStyle w:val="2"/>
        <w:adjustRightInd/>
        <w:snapToGrid/>
        <w:spacing w:line="56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15.开放教育课程设计与教学改革研究</w:t>
      </w:r>
    </w:p>
    <w:p w14:paraId="1715AB43">
      <w:pPr>
        <w:pStyle w:val="2"/>
        <w:adjustRightInd/>
        <w:snapToGrid/>
        <w:spacing w:line="56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16.山西学习型社会建设的推进策略研究</w:t>
      </w:r>
    </w:p>
    <w:p w14:paraId="305A7356">
      <w:pPr>
        <w:pStyle w:val="2"/>
        <w:adjustRightInd/>
        <w:snapToGrid/>
        <w:spacing w:line="56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17.山西学习型社会建设评价指标体系研究</w:t>
      </w:r>
    </w:p>
    <w:p w14:paraId="5E065BE1">
      <w:pPr>
        <w:pStyle w:val="2"/>
        <w:adjustRightInd/>
        <w:snapToGrid/>
        <w:spacing w:line="56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18.学习型机关建设研究</w:t>
      </w:r>
    </w:p>
    <w:p w14:paraId="3C9615A3">
      <w:pPr>
        <w:pStyle w:val="2"/>
        <w:adjustRightInd/>
        <w:snapToGrid/>
        <w:spacing w:line="56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19.数字赋能终身教育服务学习型社会建设研究</w:t>
      </w:r>
    </w:p>
    <w:p w14:paraId="11067A77">
      <w:pPr>
        <w:pStyle w:val="2"/>
        <w:adjustRightInd/>
        <w:snapToGrid/>
        <w:spacing w:line="56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20.山西终身学习公共服务体系建设研究</w:t>
      </w:r>
    </w:p>
    <w:p w14:paraId="68919C44">
      <w:pPr>
        <w:pStyle w:val="2"/>
        <w:adjustRightInd/>
        <w:snapToGrid/>
        <w:spacing w:line="56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21.终身教育助力山西产业升级和转型的路径研究</w:t>
      </w:r>
    </w:p>
    <w:p w14:paraId="6AC19B30">
      <w:pPr>
        <w:pStyle w:val="2"/>
        <w:adjustRightInd/>
        <w:snapToGrid/>
        <w:spacing w:line="56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22.终身教育助力山西乡村振兴路径研究</w:t>
      </w:r>
    </w:p>
    <w:p w14:paraId="41795D4A">
      <w:pPr>
        <w:pStyle w:val="2"/>
        <w:adjustRightInd/>
        <w:snapToGrid/>
        <w:spacing w:line="56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23.终身教育与社会治理现代化关系研究</w:t>
      </w:r>
    </w:p>
    <w:p w14:paraId="6B5FF89D">
      <w:pPr>
        <w:pStyle w:val="2"/>
        <w:adjustRightInd/>
        <w:snapToGrid/>
        <w:spacing w:line="56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24.地域文化特色资源在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终身</w:t>
      </w: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教育中的转化利用研究</w:t>
      </w:r>
    </w:p>
    <w:p w14:paraId="2DFA1003">
      <w:pPr>
        <w:pStyle w:val="2"/>
        <w:adjustRightInd/>
        <w:snapToGrid/>
        <w:spacing w:line="56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25.终身教育师资队伍建设与激励机制研究</w:t>
      </w:r>
    </w:p>
    <w:p w14:paraId="6C11555F">
      <w:pPr>
        <w:pStyle w:val="2"/>
        <w:adjustRightInd/>
        <w:snapToGrid/>
        <w:spacing w:line="56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26.推动山西职业教育、高等教育与继续教育融合发展研究</w:t>
      </w:r>
    </w:p>
    <w:p w14:paraId="1AB4778E">
      <w:pPr>
        <w:pStyle w:val="2"/>
        <w:adjustRightInd/>
        <w:snapToGrid/>
        <w:spacing w:line="56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27.提高山西终身教育学习者参与度和满意度策略研究</w:t>
      </w:r>
    </w:p>
    <w:p w14:paraId="3241353A">
      <w:pPr>
        <w:pStyle w:val="2"/>
        <w:adjustRightInd/>
        <w:snapToGrid/>
        <w:spacing w:line="56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28.数字大学建设中的课程资源数字化与共享机制研究</w:t>
      </w:r>
    </w:p>
    <w:p w14:paraId="44A966E8">
      <w:pPr>
        <w:pStyle w:val="2"/>
        <w:tabs>
          <w:tab w:val="left" w:pos="499"/>
        </w:tabs>
        <w:adjustRightInd/>
        <w:snapToGrid/>
        <w:spacing w:line="56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29.终身教育课程及学习资源建设研究</w:t>
      </w:r>
    </w:p>
    <w:p w14:paraId="48AB2181">
      <w:pPr>
        <w:pStyle w:val="2"/>
        <w:tabs>
          <w:tab w:val="left" w:pos="499"/>
        </w:tabs>
        <w:adjustRightInd/>
        <w:snapToGrid/>
        <w:spacing w:line="56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30.山西老年教育高质量发展策略和路径研究</w:t>
      </w:r>
    </w:p>
    <w:p w14:paraId="34DEEE3F">
      <w:pPr>
        <w:pStyle w:val="2"/>
        <w:adjustRightInd/>
        <w:snapToGrid/>
        <w:spacing w:line="56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31.山西社区教育、老年教育、家庭教育协同发展研究</w:t>
      </w:r>
    </w:p>
    <w:p w14:paraId="5F402957">
      <w:pPr>
        <w:pStyle w:val="2"/>
        <w:adjustRightInd/>
        <w:snapToGrid/>
        <w:spacing w:line="56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32.新时代开放教育中的立德树人工程实践研究</w:t>
      </w:r>
    </w:p>
    <w:p w14:paraId="0FC5FD2E">
      <w:pPr>
        <w:pStyle w:val="2"/>
        <w:adjustRightInd/>
        <w:snapToGrid/>
        <w:spacing w:line="56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33.开放教育教学模式的创新与实践研究</w:t>
      </w:r>
    </w:p>
    <w:p w14:paraId="08987E7D">
      <w:pPr>
        <w:pStyle w:val="2"/>
        <w:adjustRightInd/>
        <w:snapToGrid/>
        <w:spacing w:line="56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34.开放大学办学体系质量保证构建研究</w:t>
      </w:r>
    </w:p>
    <w:p w14:paraId="44F6E9B0">
      <w:pPr>
        <w:pStyle w:val="2"/>
        <w:adjustRightInd/>
        <w:snapToGrid/>
        <w:spacing w:line="56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35.干部培训助力基层干部履职能力提升研究</w:t>
      </w:r>
    </w:p>
    <w:p w14:paraId="37177414">
      <w:pPr>
        <w:pStyle w:val="2"/>
        <w:adjustRightInd/>
        <w:snapToGrid/>
        <w:spacing w:line="56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36.中部地区省份终身教育发展比较分析研究</w:t>
      </w:r>
    </w:p>
    <w:p w14:paraId="1F04F5CA"/>
    <w:p w14:paraId="1BE33642"/>
    <w:sectPr>
      <w:pgSz w:w="11905" w:h="16840"/>
      <w:pgMar w:top="2155" w:right="1531" w:bottom="1871" w:left="1531" w:header="851" w:footer="1418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Nimbus Roman No9 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altName w:val="黑体"/>
    <w:panose1 w:val="020B0503020204020204"/>
    <w:charset w:val="00"/>
    <w:family w:val="swiss"/>
    <w:pitch w:val="default"/>
    <w:sig w:usb0="00000000" w:usb1="00000000" w:usb2="00000016" w:usb3="00000000" w:csb0="0004001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8F76A4"/>
    <w:rsid w:val="748F76A4"/>
    <w:rsid w:val="BEBFC7E9"/>
    <w:rsid w:val="DEFC854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84"/>
      <w:szCs w:val="8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2019-12-24T14:42:00Z</dcterms:created>
  <dc:creator>alpha</dc:creator>
  <cp:lastModifiedBy>lkj</cp:lastModifiedBy>
  <dcterms:modified xsi:type="dcterms:W3CDTF">2025-04-11T15:19:39Z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2052-12.8.2.1118</vt:lpwstr>
  </property>
  <property fmtid="{D5CDD505-2E9C-101B-9397-08002B2CF9AE}" pid="3" name="ICV">
    <vt:lpwstr>11F7FCD1A73D7D928BC2F867242E4786_43</vt:lpwstr>
  </property>
</Properties>
</file>