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AF1E">
      <w:pPr>
        <w:kinsoku/>
        <w:topLinePunct/>
        <w:autoSpaceDE/>
        <w:autoSpaceDN/>
        <w:spacing w:line="249" w:lineRule="auto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附件1</w:t>
      </w:r>
    </w:p>
    <w:p w14:paraId="57E88E29">
      <w:pPr>
        <w:kinsoku/>
        <w:topLinePunct/>
        <w:autoSpaceDE/>
        <w:autoSpaceDN/>
        <w:spacing w:line="70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</w:pPr>
    </w:p>
    <w:p w14:paraId="411DD16E">
      <w:pPr>
        <w:kinsoku/>
        <w:topLinePunct/>
        <w:autoSpaceDE/>
        <w:autoSpaceDN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141605</wp:posOffset>
                </wp:positionV>
                <wp:extent cx="6350" cy="3175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3175"/>
                        </a:xfrm>
                        <a:prstGeom prst="rect">
                          <a:avLst/>
                        </a:prstGeom>
                        <a:solidFill>
                          <a:srgbClr val="F84047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86.1pt;margin-top:11.15pt;height:0.25pt;width:0.5pt;z-index:251659264;mso-width-relative:page;mso-height-relative:page;" fillcolor="#F84047" filled="t" stroked="f" coordsize="21600,21600" o:gfxdata="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G76GNYAAAAJAQAADwAAAAAAAAABACAAAAAiAAAAZHJzL2Rvd25yZXYueG1sUEsBAhQAFAAA&#10;AAgAh07iQCpxHtq4AQAAaAMAAA4AAAAAAAAAAQAgAAAAJQ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  <w:t>2025年度山西省</w:t>
      </w:r>
      <w:r>
        <w:rPr>
          <w:rFonts w:hint="eastAsia" w:ascii="Times New Roman" w:hAnsi="Times New Roman" w:eastAsia="方正小标宋简体" w:cs="Times New Roman"/>
          <w:spacing w:val="-2"/>
          <w:sz w:val="44"/>
          <w:szCs w:val="44"/>
          <w:lang w:eastAsia="zh-CN"/>
        </w:rPr>
        <w:t>终身</w:t>
      </w:r>
      <w:r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  <w:t>教育高质量发展</w:t>
      </w:r>
    </w:p>
    <w:p w14:paraId="5666A933">
      <w:pPr>
        <w:kinsoku/>
        <w:topLinePunct/>
        <w:autoSpaceDE/>
        <w:autoSpaceDN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  <w:lang w:eastAsia="zh-CN"/>
        </w:rPr>
        <w:t>重大专项研究课题选题指南</w:t>
      </w:r>
    </w:p>
    <w:p w14:paraId="29B70C5A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9363F19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1.习近平总书记关于终身教育重要论述研究</w:t>
      </w:r>
    </w:p>
    <w:p w14:paraId="6338B7B2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2.终身教育理念的传承与实践创新研究</w:t>
      </w:r>
    </w:p>
    <w:p w14:paraId="778894DD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3.山西省全民终身教育立法的重点难点研究</w:t>
      </w:r>
    </w:p>
    <w:p w14:paraId="67DE953F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4.山西构建泛在可及的终身教育体系策略和路径研究</w:t>
      </w:r>
    </w:p>
    <w:p w14:paraId="3FF33952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5.数字化背景下山西学分银行建设研究</w:t>
      </w:r>
    </w:p>
    <w:p w14:paraId="3E571C5D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6.学习强国战略与人才培养研究</w:t>
      </w:r>
    </w:p>
    <w:p w14:paraId="0B5C3BBC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7.数字化赋能教育强省建设研究</w:t>
      </w:r>
    </w:p>
    <w:p w14:paraId="7490AA49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终身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教育服务新质生产力发展研究</w:t>
      </w:r>
    </w:p>
    <w:p w14:paraId="05C2B128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终身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教育资源的精准供给与区域协同研究</w:t>
      </w:r>
    </w:p>
    <w:p w14:paraId="745D1C5E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10.山西教育公共服务平台优化研究</w:t>
      </w:r>
    </w:p>
    <w:p w14:paraId="443E91C8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11.教育强省与社区教育协同发展研究</w:t>
      </w:r>
    </w:p>
    <w:p w14:paraId="24866B95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12.教育强省战略赋能地方经济发展的路径探索</w:t>
      </w:r>
    </w:p>
    <w:p w14:paraId="4ADD9D6D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13.开放教育与终身学习体系研究</w:t>
      </w:r>
    </w:p>
    <w:p w14:paraId="3F6A384F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14.开放教育与技术应用研究</w:t>
      </w:r>
    </w:p>
    <w:p w14:paraId="51E9B8F6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15.开放教育课程设计与教学改革研究</w:t>
      </w:r>
    </w:p>
    <w:p w14:paraId="1715AB43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16.山西学习型社会建设的推进策略研究</w:t>
      </w:r>
    </w:p>
    <w:p w14:paraId="305A7356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17.山西学习型社会建设评价指标体系研究</w:t>
      </w:r>
    </w:p>
    <w:p w14:paraId="5E065BE1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18.学习型机关建设研究</w:t>
      </w:r>
    </w:p>
    <w:p w14:paraId="3C9615A3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19.数字赋能终身教育服务学习型社会建设研究</w:t>
      </w:r>
    </w:p>
    <w:p w14:paraId="11067A77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20.山西终身学习公共服务体系建设研究</w:t>
      </w:r>
    </w:p>
    <w:p w14:paraId="68919C44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21.终身教育助力山西产业升级和转型的路径研究</w:t>
      </w:r>
    </w:p>
    <w:p w14:paraId="6AC19B30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22.终身教育助力山西乡村振兴路径研究</w:t>
      </w:r>
    </w:p>
    <w:p w14:paraId="41795D4A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23.终身教育与社会治理现代化关系研究</w:t>
      </w:r>
    </w:p>
    <w:p w14:paraId="6B5FF89D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24.地域文化特色资源在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终身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教育中的转化利用研究</w:t>
      </w:r>
    </w:p>
    <w:p w14:paraId="2DFA1003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25.终身教育师资队伍建设与激励机制研究</w:t>
      </w:r>
    </w:p>
    <w:p w14:paraId="6C11555F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26.推动山西职业教育、高等教育与继续教育融合发展研究</w:t>
      </w:r>
    </w:p>
    <w:p w14:paraId="1AB4778E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27.提高山西终身教育学习者参与度和满意度策略研究</w:t>
      </w:r>
    </w:p>
    <w:p w14:paraId="3241353A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28.数字大学建设中的课程资源数字化与共享机制研究</w:t>
      </w:r>
    </w:p>
    <w:p w14:paraId="44A966E8">
      <w:pPr>
        <w:pStyle w:val="2"/>
        <w:tabs>
          <w:tab w:val="left" w:pos="499"/>
        </w:tabs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29.终身教育课程及学习资源建设研究</w:t>
      </w:r>
    </w:p>
    <w:p w14:paraId="48AB2181">
      <w:pPr>
        <w:pStyle w:val="2"/>
        <w:tabs>
          <w:tab w:val="left" w:pos="499"/>
        </w:tabs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30.山西老年教育高质量发展策略和路径研究</w:t>
      </w:r>
    </w:p>
    <w:p w14:paraId="34DEEE3F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31.山西社区教育、老年教育、家庭教育协同发展研究</w:t>
      </w:r>
    </w:p>
    <w:p w14:paraId="5F402957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32.新时代开放教育中的立德树人工程实践研究</w:t>
      </w:r>
    </w:p>
    <w:p w14:paraId="0FC5FD2E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33.开放教育教学模式的创新与实践研究</w:t>
      </w:r>
    </w:p>
    <w:p w14:paraId="08987E7D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34.开放大学办学体系质量保证构建研究</w:t>
      </w:r>
    </w:p>
    <w:p w14:paraId="44F6E9B0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35.干部培训助力基层干部履职能力提升研究</w:t>
      </w:r>
    </w:p>
    <w:p w14:paraId="37177414">
      <w:pPr>
        <w:pStyle w:val="2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36.中部地区省份终身教育发展比较分析研究</w:t>
      </w:r>
    </w:p>
    <w:p w14:paraId="1F04F5CA"/>
    <w:p w14:paraId="1BE33642"/>
    <w:sectPr>
      <w:pgSz w:w="11905" w:h="16840"/>
      <w:pgMar w:top="2155" w:right="1531" w:bottom="1871" w:left="1531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6A4"/>
    <w:rsid w:val="748F76A4"/>
    <w:rsid w:val="BEBFC7E9"/>
    <w:rsid w:val="DEFC8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84"/>
      <w:szCs w:val="8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2019-12-24T14:42:00Z</dcterms:created>
  <dc:creator>alpha</dc:creator>
  <cp:lastModifiedBy>lkj</cp:lastModifiedBy>
  <dcterms:modified xsi:type="dcterms:W3CDTF">2025-04-11T15:19:39Z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11F7FCD1A73D7D928BC2F867242E4786_43</vt:lpwstr>
  </property>
</Properties>
</file>