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lang w:val="en-US" w:eastAsia="zh-CN"/>
        </w:rPr>
        <w:t>山西省法学会2025年度省级法学研究课题指南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一、重点课题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1、习近平法治思想引领法治山西建设实践研究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2、山西涉外法治人才培养创新机制与路径研究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3、社会治安综合治理中心规范化建设研究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4、山西优秀传统法律文化的时代价值研究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5、环渤海区域一体化发展的法治保障研究</w:t>
      </w: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二、一般课题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1、人工智能技术运用的法律规制研究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2、低空经济发展面临的法律问题研究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3、山西建设新型能源体系法治保障研究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4、山西民营经济发展壮大法治保障研究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5、山西抗日民主政权的司法制度研究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6、山西文旅产业融合发展法律保障路径研究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7、山西实现教育强省目标的法治化路径研究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8、矿产资源价格周期性调控法律政策研究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9、城市更新背景下房票制度研究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老龄社会劳动关系法治保障研究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11、重大决策社会稳定风险评估法治化研究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12、行政争议实质性化解研究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跨区域执法司法规范化研究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14、网络意识形态综合治理法治化路径研究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优化重大安全事故处理法治化路径研究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青少年违法犯罪综合治理机制研究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17、关于电信网络诈骗犯罪的治理研究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18、个人极端暴力重大刑事案件风险防控机制研究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虚拟货币受贿案件刑事裁判规则研究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20、《监察法》修订后推进风腐同查同治机制研究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21、《能源法》实施助力山西能源结构转型的法治保障研究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22、司法裁判应用人工智能技术的法理学研究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4874CB" w:themeColor="accent1"/>
          <w:sz w:val="32"/>
          <w:szCs w:val="32"/>
          <w:lang w:val="en-US" w:eastAsia="zh-CN"/>
          <w14:textFill>
            <w14:solidFill>
              <w14:schemeClr w14:val="accent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iMjhjMWQzZDUzM2U4YzQ1Mjg3YWJjMzZlMjgwNTIifQ=="/>
  </w:docVars>
  <w:rsids>
    <w:rsidRoot w:val="00000000"/>
    <w:rsid w:val="02D33EA7"/>
    <w:rsid w:val="04F12226"/>
    <w:rsid w:val="07A07BF6"/>
    <w:rsid w:val="08E4234C"/>
    <w:rsid w:val="0BF41513"/>
    <w:rsid w:val="10BC6AF2"/>
    <w:rsid w:val="13FE2FFC"/>
    <w:rsid w:val="197F3557"/>
    <w:rsid w:val="1B535718"/>
    <w:rsid w:val="1E403142"/>
    <w:rsid w:val="1F721B91"/>
    <w:rsid w:val="25D36AE8"/>
    <w:rsid w:val="296C128F"/>
    <w:rsid w:val="29EC67BB"/>
    <w:rsid w:val="2A651B72"/>
    <w:rsid w:val="2AC65541"/>
    <w:rsid w:val="2E2134DA"/>
    <w:rsid w:val="30696528"/>
    <w:rsid w:val="31605B7D"/>
    <w:rsid w:val="34826468"/>
    <w:rsid w:val="39923707"/>
    <w:rsid w:val="3AF20CF8"/>
    <w:rsid w:val="3F283A52"/>
    <w:rsid w:val="44C71617"/>
    <w:rsid w:val="46CF41F1"/>
    <w:rsid w:val="490E5A67"/>
    <w:rsid w:val="496F0BFB"/>
    <w:rsid w:val="4A484FA8"/>
    <w:rsid w:val="4A765E67"/>
    <w:rsid w:val="4AD5198E"/>
    <w:rsid w:val="4B1E5950"/>
    <w:rsid w:val="4F824AB9"/>
    <w:rsid w:val="50BE008E"/>
    <w:rsid w:val="55653BC2"/>
    <w:rsid w:val="55A00BE7"/>
    <w:rsid w:val="55EC1EA5"/>
    <w:rsid w:val="58003366"/>
    <w:rsid w:val="5A667ED1"/>
    <w:rsid w:val="5E1B4A56"/>
    <w:rsid w:val="5E5E4943"/>
    <w:rsid w:val="6563197B"/>
    <w:rsid w:val="65FF07B9"/>
    <w:rsid w:val="680E415E"/>
    <w:rsid w:val="6CE64481"/>
    <w:rsid w:val="6D042B59"/>
    <w:rsid w:val="6E061225"/>
    <w:rsid w:val="70390D6C"/>
    <w:rsid w:val="74BA691F"/>
    <w:rsid w:val="7EB8536B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749</Characters>
  <Lines>0</Lines>
  <Paragraphs>0</Paragraphs>
  <TotalTime>33</TotalTime>
  <ScaleCrop>false</ScaleCrop>
  <LinksUpToDate>false</LinksUpToDate>
  <CharactersWithSpaces>749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2025-03-13T07:47:00Z</dcterms:created>
  <dc:creator>Administrator</dc:creator>
  <cp:lastModifiedBy>轩辕剑</cp:lastModifiedBy>
  <cp:lastPrinted>2025-03-31T02:11:00Z</cp:lastPrinted>
  <dcterms:modified xsi:type="dcterms:W3CDTF">2025-04-08T08:14:43Z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eyJoZGlkIjoiOGI5MjBiMmE1NDEyYzhmMjVmZTIzMzFmMmMzMDkxNjEiLCJ1c2VySWQiOiIxNjM0NjQwODA3In0=</vt:lpwstr>
  </property>
  <property fmtid="{D5CDD505-2E9C-101B-9397-08002B2CF9AE}" pid="4" name="ICV">
    <vt:lpwstr>1D153C364E614E2CBBFE5A25356626DD_12</vt:lpwstr>
  </property>
</Properties>
</file>